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7B" w:rsidRPr="00ED7864" w:rsidRDefault="003A2E7B" w:rsidP="00D71AD0">
      <w:pPr>
        <w:pStyle w:val="5"/>
        <w:tabs>
          <w:tab w:val="left" w:pos="9355"/>
        </w:tabs>
        <w:spacing w:before="0"/>
        <w:ind w:right="7137" w:firstLine="1560"/>
        <w:jc w:val="center"/>
        <w:rPr>
          <w:rFonts w:ascii="Times New Roman" w:hAnsi="Times New Roman"/>
          <w:sz w:val="26"/>
          <w:szCs w:val="26"/>
        </w:rPr>
      </w:pPr>
      <w:r w:rsidRPr="00ED786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D0" w:rsidRPr="00ED7864" w:rsidRDefault="003A2E7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>СОРОЧИНСКИЙ  ГОРОДСКОЙ  СОВЕТ</w:t>
      </w:r>
      <w:r w:rsidRPr="00ED7864">
        <w:rPr>
          <w:sz w:val="26"/>
          <w:szCs w:val="26"/>
        </w:rPr>
        <w:tab/>
      </w:r>
      <w:r w:rsidR="00D71AD0" w:rsidRPr="00ED7864">
        <w:rPr>
          <w:sz w:val="26"/>
          <w:szCs w:val="26"/>
        </w:rPr>
        <w:t xml:space="preserve">                              </w:t>
      </w:r>
      <w:r w:rsidR="008631C9" w:rsidRPr="00ED7864">
        <w:rPr>
          <w:b/>
          <w:sz w:val="26"/>
          <w:szCs w:val="26"/>
        </w:rPr>
        <w:t xml:space="preserve"> </w:t>
      </w:r>
    </w:p>
    <w:p w:rsidR="003A2E7B" w:rsidRPr="00ED7864" w:rsidRDefault="003A2E7B" w:rsidP="003A2E7B">
      <w:pPr>
        <w:rPr>
          <w:b/>
          <w:i/>
          <w:sz w:val="26"/>
          <w:szCs w:val="26"/>
        </w:rPr>
      </w:pPr>
      <w:r w:rsidRPr="00ED7864">
        <w:rPr>
          <w:sz w:val="26"/>
          <w:szCs w:val="26"/>
        </w:rPr>
        <w:t xml:space="preserve">МУНИЦИПАЛЬНОГО ОБРАЗОВАНИЯ                          </w:t>
      </w:r>
      <w:r w:rsidR="00D71AD0" w:rsidRPr="00ED7864">
        <w:rPr>
          <w:b/>
          <w:sz w:val="26"/>
          <w:szCs w:val="26"/>
        </w:rPr>
        <w:t xml:space="preserve"> </w:t>
      </w:r>
    </w:p>
    <w:p w:rsidR="003A2E7B" w:rsidRPr="00ED7864" w:rsidRDefault="003A2E7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 ГОРОД СОРОЧИНСК</w:t>
      </w:r>
    </w:p>
    <w:p w:rsidR="003A2E7B" w:rsidRPr="00ED7864" w:rsidRDefault="003A2E7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 xml:space="preserve">    ОРЕНБУРГСКОЙ ОБЛАСТИ</w:t>
      </w:r>
    </w:p>
    <w:p w:rsidR="003A2E7B" w:rsidRPr="00ED7864" w:rsidRDefault="00BE259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 xml:space="preserve">  (</w:t>
      </w:r>
      <w:r w:rsidR="00D71AD0" w:rsidRPr="00ED7864">
        <w:rPr>
          <w:sz w:val="26"/>
          <w:szCs w:val="26"/>
          <w:lang w:val="en-US"/>
        </w:rPr>
        <w:t>V</w:t>
      </w:r>
      <w:r w:rsidR="00D71AD0" w:rsidRPr="00ED7864">
        <w:rPr>
          <w:sz w:val="26"/>
          <w:szCs w:val="26"/>
        </w:rPr>
        <w:t xml:space="preserve"> </w:t>
      </w:r>
      <w:r w:rsidR="003A2E7B" w:rsidRPr="00ED7864">
        <w:rPr>
          <w:sz w:val="26"/>
          <w:szCs w:val="26"/>
          <w:lang w:val="en-US"/>
        </w:rPr>
        <w:t>CECC</w:t>
      </w:r>
      <w:proofErr w:type="gramStart"/>
      <w:r w:rsidR="003A2E7B" w:rsidRPr="00ED7864">
        <w:rPr>
          <w:sz w:val="26"/>
          <w:szCs w:val="26"/>
        </w:rPr>
        <w:t>ИЯ</w:t>
      </w:r>
      <w:proofErr w:type="gramEnd"/>
      <w:r w:rsidR="003A2E7B" w:rsidRPr="00ED7864">
        <w:rPr>
          <w:sz w:val="26"/>
          <w:szCs w:val="26"/>
        </w:rPr>
        <w:t xml:space="preserve"> ПЯТОГО СОЗЫВА)</w:t>
      </w:r>
    </w:p>
    <w:p w:rsidR="003A2E7B" w:rsidRPr="00ED7864" w:rsidRDefault="003A2E7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ab/>
        <w:t xml:space="preserve">          РЕШЕНИЕ </w:t>
      </w:r>
    </w:p>
    <w:p w:rsidR="003A2E7B" w:rsidRPr="00ED7864" w:rsidRDefault="003A2E7B" w:rsidP="003A2E7B">
      <w:pPr>
        <w:rPr>
          <w:sz w:val="26"/>
          <w:szCs w:val="26"/>
        </w:rPr>
      </w:pPr>
      <w:r w:rsidRPr="00ED7864">
        <w:rPr>
          <w:sz w:val="26"/>
          <w:szCs w:val="26"/>
        </w:rPr>
        <w:t>от «</w:t>
      </w:r>
      <w:r w:rsidR="008C6C5A" w:rsidRPr="00ED7864">
        <w:rPr>
          <w:sz w:val="26"/>
          <w:szCs w:val="26"/>
        </w:rPr>
        <w:t xml:space="preserve">09»  ноября </w:t>
      </w:r>
      <w:r w:rsidRPr="00ED7864">
        <w:rPr>
          <w:sz w:val="26"/>
          <w:szCs w:val="26"/>
        </w:rPr>
        <w:t>2015 г</w:t>
      </w:r>
      <w:r w:rsidR="008C6C5A" w:rsidRPr="00ED7864">
        <w:rPr>
          <w:sz w:val="26"/>
          <w:szCs w:val="26"/>
        </w:rPr>
        <w:t>ода</w:t>
      </w:r>
      <w:r w:rsidRPr="00ED7864">
        <w:rPr>
          <w:sz w:val="26"/>
          <w:szCs w:val="26"/>
        </w:rPr>
        <w:t xml:space="preserve"> </w:t>
      </w:r>
      <w:r w:rsidR="008631C9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 xml:space="preserve">№ </w:t>
      </w:r>
      <w:r w:rsidR="008631C9" w:rsidRPr="00ED7864">
        <w:rPr>
          <w:sz w:val="26"/>
          <w:szCs w:val="26"/>
        </w:rPr>
        <w:t xml:space="preserve"> 23</w:t>
      </w:r>
    </w:p>
    <w:p w:rsidR="003A2E7B" w:rsidRPr="00ED7864" w:rsidRDefault="003A2E7B" w:rsidP="003A2E7B">
      <w:pPr>
        <w:rPr>
          <w:sz w:val="26"/>
          <w:szCs w:val="26"/>
        </w:rPr>
      </w:pPr>
    </w:p>
    <w:p w:rsidR="00D71AD0" w:rsidRPr="00ED7864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>О</w:t>
      </w:r>
      <w:r w:rsidR="00D71AD0" w:rsidRPr="00ED7864">
        <w:rPr>
          <w:sz w:val="26"/>
          <w:szCs w:val="26"/>
        </w:rPr>
        <w:t>б утверждении Положения «О</w:t>
      </w:r>
      <w:r w:rsidRPr="00ED7864">
        <w:rPr>
          <w:sz w:val="26"/>
          <w:szCs w:val="26"/>
        </w:rPr>
        <w:t xml:space="preserve"> едином налоге </w:t>
      </w:r>
      <w:proofErr w:type="gramStart"/>
      <w:r w:rsidRPr="00ED7864">
        <w:rPr>
          <w:sz w:val="26"/>
          <w:szCs w:val="26"/>
        </w:rPr>
        <w:t>на</w:t>
      </w:r>
      <w:proofErr w:type="gramEnd"/>
      <w:r w:rsidRPr="00ED7864">
        <w:rPr>
          <w:sz w:val="26"/>
          <w:szCs w:val="26"/>
        </w:rPr>
        <w:t xml:space="preserve"> </w:t>
      </w:r>
    </w:p>
    <w:p w:rsidR="003A2E7B" w:rsidRPr="00ED7864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>вмененный доход для отдельных видов деятельности</w:t>
      </w:r>
      <w:r w:rsidR="00D71AD0" w:rsidRPr="00ED7864">
        <w:rPr>
          <w:sz w:val="26"/>
          <w:szCs w:val="26"/>
        </w:rPr>
        <w:t>»</w:t>
      </w:r>
      <w:r w:rsidRPr="00ED7864">
        <w:rPr>
          <w:sz w:val="26"/>
          <w:szCs w:val="26"/>
        </w:rPr>
        <w:t xml:space="preserve"> </w:t>
      </w:r>
    </w:p>
    <w:p w:rsidR="003A2E7B" w:rsidRPr="00ED7864" w:rsidRDefault="003A2E7B" w:rsidP="003A2E7B">
      <w:pPr>
        <w:jc w:val="both"/>
        <w:rPr>
          <w:sz w:val="26"/>
          <w:szCs w:val="26"/>
        </w:rPr>
      </w:pPr>
    </w:p>
    <w:p w:rsidR="003A2E7B" w:rsidRPr="00ED7864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</w:t>
      </w:r>
      <w:r w:rsidR="00BE259B" w:rsidRPr="00ED7864">
        <w:rPr>
          <w:sz w:val="26"/>
          <w:szCs w:val="26"/>
        </w:rPr>
        <w:t xml:space="preserve">В соответствии с Налоговым Кодексом Российской Федерации, на </w:t>
      </w:r>
      <w:r w:rsidRPr="00ED7864">
        <w:rPr>
          <w:sz w:val="26"/>
          <w:szCs w:val="26"/>
        </w:rPr>
        <w:t xml:space="preserve">основании статьи 35 Федерального закона от 6 октября 2003 года </w:t>
      </w:r>
      <w:r w:rsidR="008631C9" w:rsidRPr="00ED7864">
        <w:rPr>
          <w:sz w:val="26"/>
          <w:szCs w:val="26"/>
        </w:rPr>
        <w:t xml:space="preserve">№ 131-ФЗ </w:t>
      </w:r>
      <w:r w:rsidRPr="00ED7864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8631C9" w:rsidRPr="00ED7864">
        <w:rPr>
          <w:sz w:val="26"/>
          <w:szCs w:val="26"/>
        </w:rPr>
        <w:t xml:space="preserve"> </w:t>
      </w:r>
      <w:r w:rsidR="00BE259B" w:rsidRPr="00ED7864">
        <w:rPr>
          <w:sz w:val="26"/>
          <w:szCs w:val="26"/>
        </w:rPr>
        <w:t xml:space="preserve">и </w:t>
      </w:r>
      <w:r w:rsidRPr="00ED7864">
        <w:rPr>
          <w:sz w:val="26"/>
          <w:szCs w:val="26"/>
        </w:rPr>
        <w:t>руководствуясь ст</w:t>
      </w:r>
      <w:r w:rsidR="00D71AD0" w:rsidRPr="00ED7864">
        <w:rPr>
          <w:sz w:val="26"/>
          <w:szCs w:val="26"/>
        </w:rPr>
        <w:t xml:space="preserve">атьей </w:t>
      </w:r>
      <w:r w:rsidRPr="00ED7864">
        <w:rPr>
          <w:sz w:val="26"/>
          <w:szCs w:val="26"/>
        </w:rPr>
        <w:t>27 Устава муниципального образования Сорочинский городской округ Оренбургской области, Сорочинский городской Совет  РЕШИЛ:</w:t>
      </w:r>
    </w:p>
    <w:p w:rsidR="003A2E7B" w:rsidRPr="00ED7864" w:rsidRDefault="003A2E7B" w:rsidP="003A2E7B">
      <w:pPr>
        <w:jc w:val="both"/>
        <w:rPr>
          <w:sz w:val="26"/>
          <w:szCs w:val="26"/>
        </w:rPr>
      </w:pPr>
    </w:p>
    <w:p w:rsidR="003A2E7B" w:rsidRPr="00ED7864" w:rsidRDefault="00BE259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</w:t>
      </w:r>
      <w:r w:rsidR="003A2E7B" w:rsidRPr="00ED7864">
        <w:rPr>
          <w:sz w:val="26"/>
          <w:szCs w:val="26"/>
        </w:rPr>
        <w:t>1. Утвердить Положение  «О едином налоге на вмененный доход для отдельных видов деятельности</w:t>
      </w:r>
      <w:r w:rsidR="00E3485F" w:rsidRPr="00ED7864">
        <w:rPr>
          <w:sz w:val="26"/>
          <w:szCs w:val="26"/>
        </w:rPr>
        <w:t>» согласно приложению</w:t>
      </w:r>
      <w:r w:rsidR="00D71AD0" w:rsidRPr="00ED7864">
        <w:rPr>
          <w:sz w:val="26"/>
          <w:szCs w:val="26"/>
        </w:rPr>
        <w:t>.</w:t>
      </w:r>
    </w:p>
    <w:p w:rsidR="003A2E7B" w:rsidRPr="00ED7864" w:rsidRDefault="003A2E7B" w:rsidP="00D71AD0">
      <w:pPr>
        <w:ind w:firstLine="708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2. Установить, что настоящее решение вступает в силу с  01</w:t>
      </w:r>
      <w:r w:rsidR="008631C9" w:rsidRPr="00ED7864">
        <w:rPr>
          <w:sz w:val="26"/>
          <w:szCs w:val="26"/>
        </w:rPr>
        <w:t xml:space="preserve"> января </w:t>
      </w:r>
      <w:r w:rsidRPr="00ED7864">
        <w:rPr>
          <w:sz w:val="26"/>
          <w:szCs w:val="26"/>
        </w:rPr>
        <w:t>2016</w:t>
      </w:r>
      <w:r w:rsidR="00BE259B" w:rsidRPr="00ED7864">
        <w:rPr>
          <w:sz w:val="26"/>
          <w:szCs w:val="26"/>
        </w:rPr>
        <w:t xml:space="preserve"> года</w:t>
      </w:r>
      <w:r w:rsidRPr="00ED7864">
        <w:rPr>
          <w:sz w:val="26"/>
          <w:szCs w:val="26"/>
        </w:rPr>
        <w:t>, но не ранее чем по истечении одного месяца с момента его опубликования</w:t>
      </w:r>
      <w:r w:rsidR="00E3485F" w:rsidRPr="00ED7864">
        <w:rPr>
          <w:sz w:val="26"/>
          <w:szCs w:val="26"/>
        </w:rPr>
        <w:t xml:space="preserve"> в газете «Сорочинский вестник»</w:t>
      </w:r>
      <w:r w:rsidRPr="00ED7864">
        <w:rPr>
          <w:sz w:val="26"/>
          <w:szCs w:val="26"/>
        </w:rPr>
        <w:t xml:space="preserve">. </w:t>
      </w:r>
    </w:p>
    <w:p w:rsidR="00E3485F" w:rsidRPr="00ED7864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ab/>
        <w:t xml:space="preserve"> 3. Признать утратившим силу решени</w:t>
      </w:r>
      <w:r w:rsidR="007D2923" w:rsidRPr="00ED7864">
        <w:rPr>
          <w:sz w:val="26"/>
          <w:szCs w:val="26"/>
        </w:rPr>
        <w:t>я</w:t>
      </w:r>
      <w:r w:rsidR="00D71AD0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>Сорочинского городского Совета депутатов от</w:t>
      </w:r>
      <w:r w:rsidR="00E3485F" w:rsidRPr="00ED7864">
        <w:rPr>
          <w:sz w:val="26"/>
          <w:szCs w:val="26"/>
        </w:rPr>
        <w:t xml:space="preserve"> 30.10.2008</w:t>
      </w:r>
      <w:r w:rsidR="00D71AD0" w:rsidRPr="00ED7864">
        <w:rPr>
          <w:sz w:val="26"/>
          <w:szCs w:val="26"/>
        </w:rPr>
        <w:t xml:space="preserve"> </w:t>
      </w:r>
      <w:r w:rsidR="00E3485F" w:rsidRPr="00ED7864">
        <w:rPr>
          <w:sz w:val="26"/>
          <w:szCs w:val="26"/>
        </w:rPr>
        <w:t xml:space="preserve"> «О едином налоге на вмененный доход для отдельных видов деятельности»,</w:t>
      </w:r>
      <w:r w:rsidR="00D71AD0" w:rsidRPr="00ED7864">
        <w:rPr>
          <w:sz w:val="26"/>
          <w:szCs w:val="26"/>
        </w:rPr>
        <w:t xml:space="preserve"> от 16.11.</w:t>
      </w:r>
      <w:r w:rsidR="00E3485F" w:rsidRPr="00ED7864">
        <w:rPr>
          <w:sz w:val="26"/>
          <w:szCs w:val="26"/>
        </w:rPr>
        <w:t>2011 № 87 «О внесении изменений в положение «О едином налоге на вмененный доход для отдельных видов деятельности</w:t>
      </w:r>
      <w:r w:rsidR="00105086" w:rsidRPr="00ED7864">
        <w:rPr>
          <w:sz w:val="26"/>
          <w:szCs w:val="26"/>
        </w:rPr>
        <w:t xml:space="preserve">». </w:t>
      </w:r>
      <w:proofErr w:type="gramStart"/>
      <w:r w:rsidR="00105086" w:rsidRPr="00ED7864">
        <w:rPr>
          <w:sz w:val="26"/>
          <w:szCs w:val="26"/>
        </w:rPr>
        <w:t>Утвержденное решением Сорочинского городского Совета № 6 от 30.10.2008, от 28.11.2013 №237 «О внесении изменений в решение Сорочинского городского Совета №6 от 30.10.2008 «О едином налоге на вмененный доход для отдельных видов деятельности» с учетом изменений, внесенных решениями Сорочинского городского Совета депутатов №87 от 16.11.2011», от 25.09.2014 «О внесении изменений в решение Сорочинского городского Совета №6 от 30.10.2008 «О едином налоге</w:t>
      </w:r>
      <w:proofErr w:type="gramEnd"/>
      <w:r w:rsidR="00105086" w:rsidRPr="00ED7864">
        <w:rPr>
          <w:sz w:val="26"/>
          <w:szCs w:val="26"/>
        </w:rPr>
        <w:t xml:space="preserve"> на вмененный доход для отдельных видов деятельности» с учетом изменений, внесенных решениями Сорочинского городского Совета депутатов № 87 от 16.11.2011, от 28.11.2013». </w:t>
      </w:r>
    </w:p>
    <w:p w:rsidR="008C6C5A" w:rsidRPr="00ED7864" w:rsidRDefault="003A2E7B" w:rsidP="008C6C5A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4. </w:t>
      </w:r>
      <w:proofErr w:type="gramStart"/>
      <w:r w:rsidR="008C6C5A" w:rsidRPr="00ED7864">
        <w:rPr>
          <w:sz w:val="26"/>
          <w:szCs w:val="26"/>
        </w:rPr>
        <w:t>Контроль за</w:t>
      </w:r>
      <w:proofErr w:type="gramEnd"/>
      <w:r w:rsidR="008C6C5A" w:rsidRPr="00ED7864">
        <w:rPr>
          <w:sz w:val="26"/>
          <w:szCs w:val="26"/>
        </w:rPr>
        <w:t xml:space="preserve"> </w:t>
      </w:r>
      <w:r w:rsidR="008631C9" w:rsidRPr="00ED7864">
        <w:rPr>
          <w:sz w:val="26"/>
          <w:szCs w:val="26"/>
        </w:rPr>
        <w:t>исполнением</w:t>
      </w:r>
      <w:r w:rsidR="008C6C5A" w:rsidRPr="00ED7864">
        <w:rPr>
          <w:sz w:val="26"/>
          <w:szCs w:val="26"/>
        </w:rPr>
        <w:t xml:space="preserve">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3A2E7B" w:rsidRDefault="003A2E7B" w:rsidP="003A2E7B">
      <w:pPr>
        <w:jc w:val="both"/>
        <w:rPr>
          <w:sz w:val="26"/>
          <w:szCs w:val="26"/>
        </w:rPr>
      </w:pPr>
    </w:p>
    <w:p w:rsidR="00ED7864" w:rsidRPr="00ED7864" w:rsidRDefault="00ED7864" w:rsidP="003A2E7B">
      <w:pPr>
        <w:jc w:val="both"/>
        <w:rPr>
          <w:sz w:val="26"/>
          <w:szCs w:val="26"/>
        </w:rPr>
      </w:pPr>
    </w:p>
    <w:p w:rsidR="003A2E7B" w:rsidRPr="00ED7864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Председатель </w:t>
      </w:r>
    </w:p>
    <w:p w:rsidR="003A2E7B" w:rsidRDefault="003A2E7B" w:rsidP="003A2E7B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Сорочинского городского Совета                             </w:t>
      </w:r>
      <w:r w:rsidR="00ED7864">
        <w:rPr>
          <w:sz w:val="26"/>
          <w:szCs w:val="26"/>
        </w:rPr>
        <w:t xml:space="preserve">                  </w:t>
      </w:r>
      <w:r w:rsidRPr="00ED7864">
        <w:rPr>
          <w:sz w:val="26"/>
          <w:szCs w:val="26"/>
        </w:rPr>
        <w:t xml:space="preserve">             В.М.</w:t>
      </w:r>
      <w:r w:rsidR="008C6C5A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>Лардугин</w:t>
      </w:r>
    </w:p>
    <w:p w:rsidR="009E10FC" w:rsidRDefault="009E10FC" w:rsidP="009E10FC">
      <w:pPr>
        <w:shd w:val="clear" w:color="auto" w:fill="FFFFFF"/>
        <w:jc w:val="both"/>
        <w:rPr>
          <w:sz w:val="28"/>
          <w:szCs w:val="28"/>
        </w:rPr>
      </w:pPr>
    </w:p>
    <w:p w:rsidR="009E10FC" w:rsidRDefault="009E10FC" w:rsidP="009E10FC">
      <w:pPr>
        <w:shd w:val="clear" w:color="auto" w:fill="FFFFFF"/>
        <w:jc w:val="both"/>
        <w:rPr>
          <w:sz w:val="28"/>
          <w:szCs w:val="28"/>
        </w:rPr>
      </w:pPr>
    </w:p>
    <w:p w:rsidR="009E10FC" w:rsidRPr="009E10FC" w:rsidRDefault="009E10FC" w:rsidP="009E10FC">
      <w:pPr>
        <w:shd w:val="clear" w:color="auto" w:fill="FFFFFF"/>
        <w:jc w:val="both"/>
        <w:rPr>
          <w:sz w:val="26"/>
          <w:szCs w:val="26"/>
        </w:rPr>
      </w:pPr>
      <w:r w:rsidRPr="009E10FC">
        <w:rPr>
          <w:sz w:val="26"/>
          <w:szCs w:val="26"/>
        </w:rPr>
        <w:t>Глава муниципального образования</w:t>
      </w:r>
    </w:p>
    <w:p w:rsidR="009E10FC" w:rsidRPr="009E10FC" w:rsidRDefault="009E10FC" w:rsidP="009E10FC">
      <w:pPr>
        <w:shd w:val="clear" w:color="auto" w:fill="FFFFFF"/>
        <w:jc w:val="both"/>
        <w:rPr>
          <w:sz w:val="26"/>
          <w:szCs w:val="26"/>
        </w:rPr>
      </w:pPr>
      <w:r w:rsidRPr="009E10FC">
        <w:rPr>
          <w:sz w:val="26"/>
          <w:szCs w:val="26"/>
        </w:rPr>
        <w:t xml:space="preserve">Сорочинский городской округ                                                </w:t>
      </w:r>
      <w:r>
        <w:rPr>
          <w:sz w:val="26"/>
          <w:szCs w:val="26"/>
        </w:rPr>
        <w:t xml:space="preserve">               </w:t>
      </w:r>
      <w:r w:rsidRPr="009E10FC">
        <w:rPr>
          <w:sz w:val="26"/>
          <w:szCs w:val="26"/>
        </w:rPr>
        <w:t>Т.П. Мелентьева</w:t>
      </w:r>
    </w:p>
    <w:p w:rsidR="00ED7864" w:rsidRPr="00ED7864" w:rsidRDefault="00ED7864" w:rsidP="003A2E7B">
      <w:pPr>
        <w:jc w:val="both"/>
        <w:rPr>
          <w:sz w:val="26"/>
          <w:szCs w:val="26"/>
        </w:rPr>
      </w:pPr>
    </w:p>
    <w:tbl>
      <w:tblPr>
        <w:tblW w:w="3738" w:type="dxa"/>
        <w:tblInd w:w="6062" w:type="dxa"/>
        <w:tblLook w:val="0000"/>
      </w:tblPr>
      <w:tblGrid>
        <w:gridCol w:w="3738"/>
      </w:tblGrid>
      <w:tr w:rsidR="00D71AD0" w:rsidRPr="00ED7864" w:rsidTr="00ED7864">
        <w:trPr>
          <w:trHeight w:val="1418"/>
        </w:trPr>
        <w:tc>
          <w:tcPr>
            <w:tcW w:w="3738" w:type="dxa"/>
          </w:tcPr>
          <w:p w:rsidR="00D71AD0" w:rsidRPr="00ED7864" w:rsidRDefault="00D71AD0" w:rsidP="00D71AD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D7864">
              <w:rPr>
                <w:bCs/>
                <w:sz w:val="26"/>
                <w:szCs w:val="26"/>
              </w:rPr>
              <w:lastRenderedPageBreak/>
              <w:t xml:space="preserve">Приложение </w:t>
            </w:r>
          </w:p>
          <w:p w:rsidR="00D71AD0" w:rsidRPr="00ED7864" w:rsidRDefault="00D71AD0" w:rsidP="00D71AD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D7864">
              <w:rPr>
                <w:bCs/>
                <w:sz w:val="26"/>
                <w:szCs w:val="26"/>
              </w:rPr>
              <w:t>к решени</w:t>
            </w:r>
            <w:r w:rsidR="00ED7864" w:rsidRPr="00ED7864">
              <w:rPr>
                <w:bCs/>
                <w:sz w:val="26"/>
                <w:szCs w:val="26"/>
              </w:rPr>
              <w:t>ю</w:t>
            </w:r>
            <w:r w:rsidRPr="00ED7864">
              <w:rPr>
                <w:bCs/>
                <w:sz w:val="26"/>
                <w:szCs w:val="26"/>
              </w:rPr>
              <w:t xml:space="preserve"> Сорочинского городского</w:t>
            </w:r>
            <w:r w:rsidR="00ED7864" w:rsidRPr="00ED7864">
              <w:rPr>
                <w:bCs/>
                <w:sz w:val="26"/>
                <w:szCs w:val="26"/>
              </w:rPr>
              <w:t xml:space="preserve"> </w:t>
            </w:r>
            <w:r w:rsidRPr="00ED7864">
              <w:rPr>
                <w:bCs/>
                <w:sz w:val="26"/>
                <w:szCs w:val="26"/>
              </w:rPr>
              <w:t xml:space="preserve">Совета </w:t>
            </w:r>
          </w:p>
          <w:p w:rsidR="00D71AD0" w:rsidRPr="00ED7864" w:rsidRDefault="00D71AD0" w:rsidP="00ED786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D7864">
              <w:rPr>
                <w:bCs/>
                <w:sz w:val="26"/>
                <w:szCs w:val="26"/>
              </w:rPr>
              <w:t xml:space="preserve">от </w:t>
            </w:r>
            <w:r w:rsidR="00ED7864" w:rsidRPr="00ED7864">
              <w:rPr>
                <w:bCs/>
                <w:sz w:val="26"/>
                <w:szCs w:val="26"/>
              </w:rPr>
              <w:t>09 ноября 2015 года № 23</w:t>
            </w:r>
          </w:p>
        </w:tc>
      </w:tr>
    </w:tbl>
    <w:p w:rsidR="00D71AD0" w:rsidRPr="00ED7864" w:rsidRDefault="00D71AD0" w:rsidP="00186A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D7864">
        <w:rPr>
          <w:bCs/>
          <w:sz w:val="26"/>
          <w:szCs w:val="26"/>
        </w:rPr>
        <w:t>Положение</w:t>
      </w:r>
    </w:p>
    <w:p w:rsidR="00D71AD0" w:rsidRPr="00ED7864" w:rsidRDefault="00D71AD0" w:rsidP="00186A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D7864">
        <w:rPr>
          <w:bCs/>
          <w:sz w:val="26"/>
          <w:szCs w:val="26"/>
        </w:rPr>
        <w:t>о едином налоге на вмененный доход для отдельных видов деятельности</w:t>
      </w:r>
    </w:p>
    <w:p w:rsidR="00186A7F" w:rsidRPr="00ED7864" w:rsidRDefault="00D71AD0" w:rsidP="00D71AD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7864">
        <w:rPr>
          <w:bCs/>
          <w:sz w:val="26"/>
          <w:szCs w:val="26"/>
        </w:rPr>
        <w:t xml:space="preserve"> </w:t>
      </w:r>
    </w:p>
    <w:p w:rsidR="00186A7F" w:rsidRPr="00ED7864" w:rsidRDefault="00186A7F" w:rsidP="00ED7864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7864">
        <w:rPr>
          <w:sz w:val="26"/>
          <w:szCs w:val="26"/>
        </w:rPr>
        <w:t>Общие положения</w:t>
      </w:r>
    </w:p>
    <w:p w:rsidR="00ED7864" w:rsidRPr="00ED7864" w:rsidRDefault="00ED7864" w:rsidP="00ED7864">
      <w:pPr>
        <w:autoSpaceDE w:val="0"/>
        <w:autoSpaceDN w:val="0"/>
        <w:adjustRightInd w:val="0"/>
        <w:ind w:left="360"/>
        <w:outlineLvl w:val="1"/>
        <w:rPr>
          <w:sz w:val="26"/>
          <w:szCs w:val="26"/>
        </w:rPr>
      </w:pP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Настоящее Положение </w:t>
      </w:r>
      <w:r w:rsidR="00BE259B" w:rsidRPr="00ED7864">
        <w:rPr>
          <w:sz w:val="26"/>
          <w:szCs w:val="26"/>
        </w:rPr>
        <w:t xml:space="preserve">о едином налоге на вмененный доход для отдельных видов деятельности (далее – Положение) </w:t>
      </w:r>
      <w:r w:rsidRPr="00ED7864">
        <w:rPr>
          <w:sz w:val="26"/>
          <w:szCs w:val="26"/>
        </w:rPr>
        <w:t>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значения и корректирующего коэффициента базовой доходности К2 в соответствии с пунктом 3 статьи 346.26</w:t>
      </w:r>
      <w:r w:rsidR="00BE259B" w:rsidRPr="00ED7864">
        <w:rPr>
          <w:sz w:val="26"/>
          <w:szCs w:val="26"/>
        </w:rPr>
        <w:t>, статьями 346.27, 346.29 и</w:t>
      </w:r>
      <w:r w:rsidRPr="00ED7864">
        <w:rPr>
          <w:sz w:val="26"/>
          <w:szCs w:val="26"/>
        </w:rPr>
        <w:t xml:space="preserve"> части второй Налогового кодекса Российской Федерации.</w:t>
      </w:r>
    </w:p>
    <w:p w:rsidR="00186A7F" w:rsidRDefault="00186A7F" w:rsidP="00186A7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7864">
        <w:rPr>
          <w:sz w:val="26"/>
          <w:szCs w:val="26"/>
        </w:rPr>
        <w:t>II. Виды предпринимательской деятельности</w:t>
      </w:r>
    </w:p>
    <w:p w:rsidR="00ED7864" w:rsidRPr="00ED7864" w:rsidRDefault="00ED7864" w:rsidP="00186A7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6"/>
      <w:bookmarkEnd w:id="0"/>
      <w:r w:rsidRPr="00ED7864">
        <w:rPr>
          <w:sz w:val="26"/>
          <w:szCs w:val="26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1) оказания бытовых услуг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2) </w:t>
      </w:r>
      <w:r w:rsidR="00ED7864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>оказания ветеринарных услуг;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3) оказания услуг по ремонту, техническому обслуживанию и мойке автомототранспортных средств; 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2"/>
      <w:bookmarkEnd w:id="1"/>
      <w:r w:rsidRPr="00ED7864">
        <w:rPr>
          <w:sz w:val="26"/>
          <w:szCs w:val="26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</w:t>
      </w:r>
      <w:r w:rsidR="00E3485F" w:rsidRPr="00ED7864">
        <w:rPr>
          <w:sz w:val="26"/>
          <w:szCs w:val="26"/>
        </w:rPr>
        <w:t>л</w:t>
      </w:r>
      <w:r w:rsidRPr="00ED7864">
        <w:rPr>
          <w:sz w:val="26"/>
          <w:szCs w:val="26"/>
        </w:rPr>
        <w:t>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4"/>
      <w:bookmarkEnd w:id="2"/>
      <w:r w:rsidRPr="00ED7864">
        <w:rPr>
          <w:sz w:val="26"/>
          <w:szCs w:val="26"/>
        </w:rPr>
        <w:t>8)</w:t>
      </w:r>
      <w:r w:rsidR="00ED7864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 xml:space="preserve">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</w:t>
      </w:r>
      <w:r w:rsidRPr="00ED7864">
        <w:rPr>
          <w:sz w:val="26"/>
          <w:szCs w:val="26"/>
        </w:rPr>
        <w:lastRenderedPageBreak/>
        <w:t>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65"/>
      <w:bookmarkEnd w:id="3"/>
      <w:r w:rsidRPr="00ED7864">
        <w:rPr>
          <w:sz w:val="26"/>
          <w:szCs w:val="26"/>
        </w:rPr>
        <w:t>9)</w:t>
      </w:r>
      <w:r w:rsidR="00ED7864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 xml:space="preserve">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10) распространения наружной рекламы с использованием рекламных конструкций;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11) размещения рекламы с использованием внешних и внутренних поверхностей транспортных средств;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69"/>
      <w:bookmarkEnd w:id="4"/>
      <w:r w:rsidRPr="00ED7864">
        <w:rPr>
          <w:sz w:val="26"/>
          <w:szCs w:val="26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70"/>
      <w:bookmarkEnd w:id="5"/>
      <w:r w:rsidRPr="00ED7864">
        <w:rPr>
          <w:sz w:val="26"/>
          <w:szCs w:val="26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2. </w:t>
      </w:r>
      <w:proofErr w:type="gramStart"/>
      <w:r w:rsidRPr="00ED7864">
        <w:rPr>
          <w:sz w:val="26"/>
          <w:szCs w:val="26"/>
        </w:rPr>
        <w:t>Единый налог не применяется в отношении видов предпринимательской деятельности, указанных в пункте 1 раздела</w:t>
      </w:r>
      <w:r w:rsidR="00BE259B" w:rsidRPr="00ED7864">
        <w:rPr>
          <w:sz w:val="26"/>
          <w:szCs w:val="26"/>
        </w:rPr>
        <w:t xml:space="preserve"> 2 настоящего Положения</w:t>
      </w:r>
      <w:r w:rsidRPr="00ED7864">
        <w:rPr>
          <w:sz w:val="26"/>
          <w:szCs w:val="26"/>
        </w:rPr>
        <w:t>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 Российской Федерации.</w:t>
      </w:r>
      <w:proofErr w:type="gramEnd"/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D7864">
        <w:rPr>
          <w:sz w:val="26"/>
          <w:szCs w:val="26"/>
        </w:rPr>
        <w:t>Единый налог не применяется в отношении видов предпринимательской деятельности, указанных в подпунктах 6-9 пункта 1</w:t>
      </w:r>
      <w:r w:rsidR="00BE259B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>раздела</w:t>
      </w:r>
      <w:r w:rsidR="00BE259B" w:rsidRPr="00ED7864">
        <w:rPr>
          <w:sz w:val="26"/>
          <w:szCs w:val="26"/>
        </w:rPr>
        <w:t xml:space="preserve"> 2</w:t>
      </w:r>
      <w:r w:rsidRPr="00ED7864">
        <w:rPr>
          <w:sz w:val="26"/>
          <w:szCs w:val="26"/>
        </w:rPr>
        <w:t xml:space="preserve"> </w:t>
      </w:r>
      <w:r w:rsidR="00BE259B" w:rsidRPr="00ED7864">
        <w:rPr>
          <w:sz w:val="26"/>
          <w:szCs w:val="26"/>
        </w:rPr>
        <w:t xml:space="preserve">настоящего Положения, </w:t>
      </w:r>
      <w:r w:rsidRPr="00ED7864">
        <w:rPr>
          <w:sz w:val="26"/>
          <w:szCs w:val="26"/>
        </w:rPr>
        <w:t>в случае, если они осуществляются организациями и индивидуальными предпринимателями, перешедшими в соответствии с главой 26.1 Налогового кодекса РФ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ED7864">
        <w:rPr>
          <w:sz w:val="26"/>
          <w:szCs w:val="26"/>
        </w:rP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186A7F" w:rsidRPr="00ED7864" w:rsidRDefault="00186A7F" w:rsidP="00186A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3. На уплату единого налога не вправе переходить: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D7864">
        <w:rPr>
          <w:sz w:val="26"/>
          <w:szCs w:val="26"/>
        </w:rPr>
        <w:t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2) организации, в которых доля участия других организаций составляет более 25 процентов. </w:t>
      </w:r>
      <w:proofErr w:type="gramStart"/>
      <w:r w:rsidRPr="00ED7864">
        <w:rPr>
          <w:sz w:val="26"/>
          <w:szCs w:val="26"/>
        </w:rPr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</w:t>
      </w:r>
      <w:r w:rsidRPr="00ED7864">
        <w:rPr>
          <w:sz w:val="26"/>
          <w:szCs w:val="26"/>
        </w:rPr>
        <w:lastRenderedPageBreak/>
        <w:t>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Законом Российской Федерации от 19 июня 1992 года N 3085-1 "О</w:t>
      </w:r>
      <w:proofErr w:type="gramEnd"/>
      <w:r w:rsidRPr="00ED7864">
        <w:rPr>
          <w:sz w:val="26"/>
          <w:szCs w:val="26"/>
        </w:rP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подпунктом 8 пункта </w:t>
      </w:r>
      <w:r w:rsidR="00BE259B" w:rsidRPr="00ED7864">
        <w:rPr>
          <w:sz w:val="26"/>
          <w:szCs w:val="26"/>
        </w:rPr>
        <w:t>1 раздела 2 настоящего Положения</w:t>
      </w:r>
      <w:r w:rsidRPr="00ED7864">
        <w:rPr>
          <w:sz w:val="26"/>
          <w:szCs w:val="26"/>
        </w:rPr>
        <w:t>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4) организации и индивидуальные предприниматели, осуществляющие виды предпринимательской деятельности, указанные в подпунктах 13 и 14 пункта </w:t>
      </w:r>
      <w:r w:rsidR="00BE259B" w:rsidRPr="00ED7864">
        <w:rPr>
          <w:sz w:val="26"/>
          <w:szCs w:val="26"/>
        </w:rPr>
        <w:t>1 раздела 2 настоящего Положения</w:t>
      </w:r>
      <w:r w:rsidRPr="00ED7864">
        <w:rPr>
          <w:sz w:val="26"/>
          <w:szCs w:val="26"/>
        </w:rPr>
        <w:t xml:space="preserve">, в части оказания услуг по передаче во временное владение и (или) в пользование автозаправочных станций и </w:t>
      </w:r>
      <w:proofErr w:type="spellStart"/>
      <w:r w:rsidRPr="00ED7864">
        <w:rPr>
          <w:sz w:val="26"/>
          <w:szCs w:val="26"/>
        </w:rPr>
        <w:t>автогазозаправочных</w:t>
      </w:r>
      <w:proofErr w:type="spellEnd"/>
      <w:r w:rsidRPr="00ED7864">
        <w:rPr>
          <w:sz w:val="26"/>
          <w:szCs w:val="26"/>
        </w:rPr>
        <w:t xml:space="preserve"> станций.</w:t>
      </w: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4. </w:t>
      </w:r>
      <w:proofErr w:type="gramStart"/>
      <w:r w:rsidRPr="00ED7864">
        <w:rPr>
          <w:sz w:val="26"/>
          <w:szCs w:val="26"/>
        </w:rPr>
        <w:t>Если по итогам налогового периода у налогоплательщика средняя численность работников превысила 100 человек и (или) им было допущено нарушение требования, установленного подпунктом 2 пункта 3 настоящего раздела, он считается утратившим право на применение системы налогообложения, установленной настоящим положением, и перешедшим на общий режим налогообложения с начала налогового периода, в котором были допущены нарушения указанных требований.</w:t>
      </w:r>
      <w:proofErr w:type="gramEnd"/>
      <w:r w:rsidRPr="00ED7864">
        <w:rPr>
          <w:sz w:val="26"/>
          <w:szCs w:val="26"/>
        </w:rPr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186A7F" w:rsidRPr="00ED7864" w:rsidRDefault="00186A7F" w:rsidP="00186A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A7F" w:rsidRPr="00ED7864" w:rsidRDefault="00186A7F" w:rsidP="00ED786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D7864">
        <w:rPr>
          <w:sz w:val="26"/>
          <w:szCs w:val="26"/>
        </w:rPr>
        <w:t>III. Значения корректирующего</w:t>
      </w:r>
      <w:r w:rsidR="00ED7864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>коэффициента базовой доходности К</w:t>
      </w:r>
      <w:proofErr w:type="gramStart"/>
      <w:r w:rsidRPr="00ED7864">
        <w:rPr>
          <w:sz w:val="26"/>
          <w:szCs w:val="26"/>
        </w:rPr>
        <w:t>2</w:t>
      </w:r>
      <w:proofErr w:type="gramEnd"/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6A7F" w:rsidRPr="00ED7864" w:rsidRDefault="00186A7F" w:rsidP="00186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При определении величины базовой доходности базовая доходность, указанная в </w:t>
      </w:r>
      <w:hyperlink r:id="rId7" w:history="1">
        <w:r w:rsidRPr="00ED7864">
          <w:rPr>
            <w:rStyle w:val="a3"/>
            <w:color w:val="222A35" w:themeColor="text2" w:themeShade="80"/>
            <w:sz w:val="26"/>
            <w:szCs w:val="26"/>
            <w:u w:val="none"/>
          </w:rPr>
          <w:t>пункте 3 статьи 346.29</w:t>
        </w:r>
      </w:hyperlink>
      <w:r w:rsidRPr="00ED7864">
        <w:rPr>
          <w:sz w:val="26"/>
          <w:szCs w:val="26"/>
        </w:rPr>
        <w:t xml:space="preserve"> Налогового кодекса Российской Федерации, корректируется (умножается) на </w:t>
      </w:r>
      <w:hyperlink r:id="rId8" w:history="1">
        <w:r w:rsidRPr="00ED7864">
          <w:rPr>
            <w:rStyle w:val="a3"/>
            <w:color w:val="171717" w:themeColor="background2" w:themeShade="1A"/>
            <w:sz w:val="26"/>
            <w:szCs w:val="26"/>
            <w:u w:val="none"/>
          </w:rPr>
          <w:t>коэффициент К</w:t>
        </w:r>
        <w:proofErr w:type="gramStart"/>
        <w:r w:rsidRPr="00ED7864">
          <w:rPr>
            <w:rStyle w:val="a3"/>
            <w:color w:val="171717" w:themeColor="background2" w:themeShade="1A"/>
            <w:sz w:val="26"/>
            <w:szCs w:val="26"/>
            <w:u w:val="none"/>
          </w:rPr>
          <w:t>2</w:t>
        </w:r>
        <w:proofErr w:type="gramEnd"/>
      </w:hyperlink>
      <w:r w:rsidRPr="00ED7864">
        <w:rPr>
          <w:sz w:val="26"/>
          <w:szCs w:val="26"/>
        </w:rPr>
        <w:t>, определяемый по следующей формуле:</w:t>
      </w:r>
    </w:p>
    <w:p w:rsidR="00186A7F" w:rsidRPr="00ED7864" w:rsidRDefault="00186A7F" w:rsidP="00186A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7864">
        <w:rPr>
          <w:sz w:val="26"/>
          <w:szCs w:val="26"/>
        </w:rPr>
        <w:t>К2</w:t>
      </w:r>
      <w:proofErr w:type="gramStart"/>
      <w:r w:rsidRPr="00ED7864">
        <w:rPr>
          <w:sz w:val="26"/>
          <w:szCs w:val="26"/>
        </w:rPr>
        <w:t xml:space="preserve"> = А</w:t>
      </w:r>
      <w:proofErr w:type="gramEnd"/>
      <w:r w:rsidRPr="00ED7864">
        <w:rPr>
          <w:sz w:val="26"/>
          <w:szCs w:val="26"/>
        </w:rPr>
        <w:t xml:space="preserve"> x В x С x Д x V, где</w:t>
      </w:r>
    </w:p>
    <w:p w:rsidR="00186A7F" w:rsidRPr="00ED7864" w:rsidRDefault="00186A7F" w:rsidP="00186A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</w:t>
      </w:r>
      <w:r w:rsidR="00BE259B" w:rsidRPr="00ED7864">
        <w:rPr>
          <w:sz w:val="26"/>
          <w:szCs w:val="26"/>
        </w:rPr>
        <w:t xml:space="preserve">      «</w:t>
      </w:r>
      <w:r w:rsidRPr="00ED7864">
        <w:rPr>
          <w:sz w:val="26"/>
          <w:szCs w:val="26"/>
        </w:rPr>
        <w:t>А</w:t>
      </w:r>
      <w:r w:rsidR="00BE259B" w:rsidRPr="00ED7864">
        <w:rPr>
          <w:sz w:val="26"/>
          <w:szCs w:val="26"/>
        </w:rPr>
        <w:t>»</w:t>
      </w:r>
      <w:r w:rsidRPr="00ED7864">
        <w:rPr>
          <w:sz w:val="26"/>
          <w:szCs w:val="26"/>
        </w:rPr>
        <w:t xml:space="preserve"> – индекс, учитывающий особенности видов предпринимательской деятельности, установленный в размере: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1)   оказание бытовых услуг – 0,7;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2)   оказание ветеринарных услуг – 1,0;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3)  оказание услуг по ремонту, техническому обслуживанию и мойке автомототранспортных средств – 1,0;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4) 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</w:t>
      </w:r>
      <w:r w:rsidR="007D2923" w:rsidRPr="00ED7864">
        <w:rPr>
          <w:sz w:val="26"/>
          <w:szCs w:val="26"/>
        </w:rPr>
        <w:t>-</w:t>
      </w:r>
      <w:r w:rsidRPr="00ED7864">
        <w:rPr>
          <w:sz w:val="26"/>
          <w:szCs w:val="26"/>
        </w:rPr>
        <w:t xml:space="preserve"> 0,4;     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5) оказание автотранспортных услуг по перевозке грузов -1,0;           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6)  оказание автотранспортных услуг  по перевозке пассажиров – 1,0  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7)  розничная торговля, осуществляемая через объекты стационарной торговой сети,  имеющие  торговые залы – 0,8;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lastRenderedPageBreak/>
        <w:t xml:space="preserve">          8)    розничная торговля, осуществляемая через объекты стационарной торговой сети, не имеющие торговых залов, а также через объекты нестационарной  торговой сети, площадь торгового места в которых не превышает 5 квадратных метров –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9)  розничная торговля, осуществляемая через объекты стационарной торговой сети, не имеющие торговых залов, а также через объекты нестационарной  торговой сети, площадь торгового места в которых  превышает 5 квадратных метров –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10) развозная и разносная розничная торговля–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11) реализация товаров с использованием торговых автоматов –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12) оказание услуг общественного питания через объект организации общественного питания, имеющий зал обслуживания посетителей – 0,8;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13) оказание услуг общественного питания через объект  организации  общественного питания, не имеющий зал обслуживания посетителей –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14) 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-0,08;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15) распространение наружной рекламы  с использованием рекламных конструкций с автоматической сменой изображения -0,08;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16) распространение наружной рекламы с использованием электронных табло – 0,08;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17) размещение рекламы с использованием внешних и внутренних поверхностей транспортных средств -0,08;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18)  оказание услуг по временному размещению и проживанию – 1,0;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19) 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- 0,4;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 - 0,4;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21) оказание услуг по передаче во временное владение и (или) в пользование земельных участков для размещения объектов  стационарной   и  нестационарной торговой сети, а так же объектов организации общественного питания, если площадь земельного участка не превышает 10 квадратных метров – 0,4. 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22)  оказание услуг по передаче во временное владение и (или) в пользование земельных участков для размещения объектов  стационарной   и  нестационарной торговой сети, а так же объектов организации общественного питания, если площадь земельного участка  превышает 10 квадратных метров</w:t>
      </w:r>
      <w:r w:rsidR="00BE259B" w:rsidRPr="00ED7864">
        <w:rPr>
          <w:sz w:val="26"/>
          <w:szCs w:val="26"/>
        </w:rPr>
        <w:t xml:space="preserve">            </w:t>
      </w:r>
      <w:r w:rsidRPr="00ED7864">
        <w:rPr>
          <w:sz w:val="26"/>
          <w:szCs w:val="26"/>
        </w:rPr>
        <w:t xml:space="preserve"> – 0,4.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</w:t>
      </w:r>
      <w:r w:rsidR="00BE259B" w:rsidRPr="00ED7864">
        <w:rPr>
          <w:sz w:val="26"/>
          <w:szCs w:val="26"/>
        </w:rPr>
        <w:t>«</w:t>
      </w:r>
      <w:r w:rsidRPr="00ED7864">
        <w:rPr>
          <w:sz w:val="26"/>
          <w:szCs w:val="26"/>
        </w:rPr>
        <w:t>В</w:t>
      </w:r>
      <w:r w:rsidR="00BE259B" w:rsidRPr="00ED7864">
        <w:rPr>
          <w:sz w:val="26"/>
          <w:szCs w:val="26"/>
        </w:rPr>
        <w:t>»</w:t>
      </w:r>
      <w:r w:rsidRPr="00ED7864">
        <w:rPr>
          <w:sz w:val="26"/>
          <w:szCs w:val="26"/>
        </w:rPr>
        <w:t xml:space="preserve"> – индекс, учитывающий особенности ведения предпринимательской деятельности в зависимости от типа населенного пункта.</w:t>
      </w:r>
    </w:p>
    <w:p w:rsidR="00F746BD" w:rsidRPr="00ED7864" w:rsidRDefault="00BE259B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</w:t>
      </w:r>
      <w:r w:rsidR="00186A7F" w:rsidRPr="00ED7864">
        <w:rPr>
          <w:sz w:val="26"/>
          <w:szCs w:val="26"/>
        </w:rPr>
        <w:t xml:space="preserve">Для всех видов деятельности установлен индекс </w:t>
      </w:r>
      <w:r w:rsidRPr="00ED7864">
        <w:rPr>
          <w:sz w:val="26"/>
          <w:szCs w:val="26"/>
        </w:rPr>
        <w:t xml:space="preserve">«В» </w:t>
      </w:r>
      <w:r w:rsidR="00186A7F" w:rsidRPr="00ED7864">
        <w:rPr>
          <w:sz w:val="26"/>
          <w:szCs w:val="26"/>
        </w:rPr>
        <w:t>в  размере</w:t>
      </w:r>
      <w:r w:rsidR="00F746BD" w:rsidRPr="00ED7864">
        <w:rPr>
          <w:sz w:val="26"/>
          <w:szCs w:val="26"/>
        </w:rPr>
        <w:t>:</w:t>
      </w:r>
    </w:p>
    <w:p w:rsidR="00F746BD" w:rsidRPr="00ED7864" w:rsidRDefault="00F746BD" w:rsidP="00BE259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ED7864">
        <w:rPr>
          <w:sz w:val="26"/>
          <w:szCs w:val="26"/>
        </w:rPr>
        <w:t>для города Сорочинска -</w:t>
      </w:r>
      <w:r w:rsidR="00186A7F" w:rsidRPr="00ED7864">
        <w:rPr>
          <w:sz w:val="26"/>
          <w:szCs w:val="26"/>
        </w:rPr>
        <w:t xml:space="preserve"> 0,7</w:t>
      </w:r>
      <w:r w:rsidRPr="00ED7864">
        <w:rPr>
          <w:sz w:val="26"/>
          <w:szCs w:val="26"/>
        </w:rPr>
        <w:t>;</w:t>
      </w:r>
      <w:bookmarkStart w:id="6" w:name="_GoBack"/>
      <w:bookmarkEnd w:id="6"/>
    </w:p>
    <w:p w:rsidR="00186A7F" w:rsidRPr="00ED7864" w:rsidRDefault="00F746BD" w:rsidP="00F746B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ED7864">
        <w:rPr>
          <w:sz w:val="26"/>
          <w:szCs w:val="26"/>
        </w:rPr>
        <w:t>для сельских поселений Сорочинского городского округа – 0,5;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</w:t>
      </w:r>
      <w:r w:rsidR="00BE259B" w:rsidRPr="00ED7864">
        <w:rPr>
          <w:sz w:val="26"/>
          <w:szCs w:val="26"/>
        </w:rPr>
        <w:t xml:space="preserve">       </w:t>
      </w:r>
      <w:r w:rsidRPr="00ED7864">
        <w:rPr>
          <w:sz w:val="26"/>
          <w:szCs w:val="26"/>
        </w:rPr>
        <w:t xml:space="preserve"> </w:t>
      </w:r>
      <w:proofErr w:type="gramStart"/>
      <w:r w:rsidR="00BE259B" w:rsidRPr="00ED7864">
        <w:rPr>
          <w:sz w:val="26"/>
          <w:szCs w:val="26"/>
        </w:rPr>
        <w:t>«</w:t>
      </w:r>
      <w:r w:rsidRPr="00ED7864">
        <w:rPr>
          <w:sz w:val="26"/>
          <w:szCs w:val="26"/>
        </w:rPr>
        <w:t>С</w:t>
      </w:r>
      <w:r w:rsidR="00BE259B" w:rsidRPr="00ED7864">
        <w:rPr>
          <w:sz w:val="26"/>
          <w:szCs w:val="26"/>
        </w:rPr>
        <w:t>»</w:t>
      </w:r>
      <w:r w:rsidRPr="00ED7864">
        <w:rPr>
          <w:sz w:val="26"/>
          <w:szCs w:val="26"/>
        </w:rPr>
        <w:t xml:space="preserve"> – индекс, учитывающий размер торговой площади, установленный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и оказания услуг общественного питания, осуществляемых через объекты организации общественного питания с площадью зала обслуживания посетителей не </w:t>
      </w:r>
      <w:r w:rsidRPr="00ED7864">
        <w:rPr>
          <w:sz w:val="26"/>
          <w:szCs w:val="26"/>
        </w:rPr>
        <w:lastRenderedPageBreak/>
        <w:t>более 150 квадратных метров по каждому объекту организации общественного питания в размере:</w:t>
      </w:r>
      <w:proofErr w:type="gramEnd"/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1)    площадь торгового зала до </w:t>
      </w:r>
      <w:smartTag w:uri="urn:schemas-microsoft-com:office:smarttags" w:element="metricconverter">
        <w:smartTagPr>
          <w:attr w:name="ProductID" w:val="50 кв. метров"/>
        </w:smartTagPr>
        <w:r w:rsidRPr="00ED7864">
          <w:rPr>
            <w:sz w:val="26"/>
            <w:szCs w:val="26"/>
          </w:rPr>
          <w:t>50 кв. метров</w:t>
        </w:r>
      </w:smartTag>
      <w:r w:rsidRPr="00ED7864">
        <w:rPr>
          <w:sz w:val="26"/>
          <w:szCs w:val="26"/>
        </w:rPr>
        <w:t xml:space="preserve"> – 1,0;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2)    площадь торгового зала от 50 до </w:t>
      </w:r>
      <w:smartTag w:uri="urn:schemas-microsoft-com:office:smarttags" w:element="metricconverter">
        <w:smartTagPr>
          <w:attr w:name="ProductID" w:val="100 кв. метров"/>
        </w:smartTagPr>
        <w:r w:rsidRPr="00ED7864">
          <w:rPr>
            <w:sz w:val="26"/>
            <w:szCs w:val="26"/>
          </w:rPr>
          <w:t>100 кв. метров</w:t>
        </w:r>
      </w:smartTag>
      <w:r w:rsidRPr="00ED7864">
        <w:rPr>
          <w:sz w:val="26"/>
          <w:szCs w:val="26"/>
        </w:rPr>
        <w:t xml:space="preserve"> – 0,9;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3)    площадь торгового зала свыше </w:t>
      </w:r>
      <w:smartTag w:uri="urn:schemas-microsoft-com:office:smarttags" w:element="metricconverter">
        <w:smartTagPr>
          <w:attr w:name="ProductID" w:val="100 кв. метров"/>
        </w:smartTagPr>
        <w:r w:rsidRPr="00ED7864">
          <w:rPr>
            <w:sz w:val="26"/>
            <w:szCs w:val="26"/>
          </w:rPr>
          <w:t>100 кв. метров</w:t>
        </w:r>
      </w:smartTag>
      <w:r w:rsidRPr="00ED7864">
        <w:rPr>
          <w:sz w:val="26"/>
          <w:szCs w:val="26"/>
        </w:rPr>
        <w:t xml:space="preserve"> – 0,8;</w:t>
      </w:r>
    </w:p>
    <w:p w:rsidR="00186A7F" w:rsidRPr="00ED7864" w:rsidRDefault="00BE259B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 </w:t>
      </w:r>
      <w:proofErr w:type="gramStart"/>
      <w:r w:rsidRPr="00ED7864">
        <w:rPr>
          <w:sz w:val="26"/>
          <w:szCs w:val="26"/>
        </w:rPr>
        <w:t>«</w:t>
      </w:r>
      <w:r w:rsidR="00186A7F" w:rsidRPr="00ED7864">
        <w:rPr>
          <w:sz w:val="26"/>
          <w:szCs w:val="26"/>
        </w:rPr>
        <w:t>Д</w:t>
      </w:r>
      <w:r w:rsidRPr="00ED7864">
        <w:rPr>
          <w:sz w:val="26"/>
          <w:szCs w:val="26"/>
        </w:rPr>
        <w:t>»</w:t>
      </w:r>
      <w:r w:rsidR="00186A7F" w:rsidRPr="00ED7864">
        <w:rPr>
          <w:sz w:val="26"/>
          <w:szCs w:val="26"/>
        </w:rPr>
        <w:t xml:space="preserve"> – индекс, учитывающий особенности труда инвалидов </w:t>
      </w:r>
      <w:r w:rsidR="00186A7F" w:rsidRPr="00ED7864">
        <w:rPr>
          <w:sz w:val="26"/>
          <w:szCs w:val="26"/>
          <w:lang w:val="en-US"/>
        </w:rPr>
        <w:t>I</w:t>
      </w:r>
      <w:r w:rsidR="00186A7F" w:rsidRPr="00ED7864">
        <w:rPr>
          <w:sz w:val="26"/>
          <w:szCs w:val="26"/>
        </w:rPr>
        <w:t xml:space="preserve"> и </w:t>
      </w:r>
      <w:r w:rsidR="00186A7F" w:rsidRPr="00ED7864">
        <w:rPr>
          <w:sz w:val="26"/>
          <w:szCs w:val="26"/>
          <w:lang w:val="en-US"/>
        </w:rPr>
        <w:t>II</w:t>
      </w:r>
      <w:r w:rsidR="00186A7F" w:rsidRPr="00ED7864">
        <w:rPr>
          <w:sz w:val="26"/>
          <w:szCs w:val="26"/>
        </w:rPr>
        <w:t xml:space="preserve">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="00186A7F" w:rsidRPr="00ED7864">
        <w:rPr>
          <w:sz w:val="26"/>
          <w:szCs w:val="26"/>
        </w:rPr>
        <w:t xml:space="preserve"> </w:t>
      </w:r>
      <w:proofErr w:type="gramStart"/>
      <w:r w:rsidR="00186A7F" w:rsidRPr="00ED7864">
        <w:rPr>
          <w:sz w:val="26"/>
          <w:szCs w:val="26"/>
        </w:rPr>
        <w:t>фонде</w:t>
      </w:r>
      <w:proofErr w:type="gramEnd"/>
      <w:r w:rsidR="00186A7F" w:rsidRPr="00ED7864">
        <w:rPr>
          <w:sz w:val="26"/>
          <w:szCs w:val="26"/>
        </w:rPr>
        <w:t xml:space="preserve"> оплаты труда не менее 25 процентов, устанавливается в размере 0,5;</w:t>
      </w:r>
    </w:p>
    <w:p w:rsidR="00186A7F" w:rsidRPr="00ED7864" w:rsidRDefault="00BE259B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«</w:t>
      </w:r>
      <w:r w:rsidR="00186A7F" w:rsidRPr="00ED7864">
        <w:rPr>
          <w:sz w:val="26"/>
          <w:szCs w:val="26"/>
          <w:lang w:val="en-US"/>
        </w:rPr>
        <w:t>V</w:t>
      </w:r>
      <w:r w:rsidRPr="00ED7864">
        <w:rPr>
          <w:sz w:val="26"/>
          <w:szCs w:val="26"/>
        </w:rPr>
        <w:t>»</w:t>
      </w:r>
      <w:r w:rsidR="00186A7F" w:rsidRPr="00ED7864">
        <w:rPr>
          <w:sz w:val="26"/>
          <w:szCs w:val="26"/>
        </w:rPr>
        <w:t xml:space="preserve"> – индекс, учитывающий ассортимент товара при розничной торговле: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1) мотоциклы с мощностью двигателя до 112,5 кВт (</w:t>
      </w:r>
      <w:smartTag w:uri="urn:schemas-microsoft-com:office:smarttags" w:element="metricconverter">
        <w:smartTagPr>
          <w:attr w:name="ProductID" w:val="150 л"/>
        </w:smartTagPr>
        <w:r w:rsidRPr="00ED7864">
          <w:rPr>
            <w:sz w:val="26"/>
            <w:szCs w:val="26"/>
          </w:rPr>
          <w:t>150 л</w:t>
        </w:r>
      </w:smartTag>
      <w:proofErr w:type="gramStart"/>
      <w:r w:rsidRPr="00ED7864">
        <w:rPr>
          <w:sz w:val="26"/>
          <w:szCs w:val="26"/>
        </w:rPr>
        <w:t>.с</w:t>
      </w:r>
      <w:proofErr w:type="gramEnd"/>
      <w:r w:rsidRPr="00ED7864">
        <w:rPr>
          <w:sz w:val="26"/>
          <w:szCs w:val="26"/>
        </w:rPr>
        <w:t>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– 1,0;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 2)  текстильные, трикотажные, швейные товары и обувь – 0,9;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</w:t>
      </w:r>
      <w:r w:rsidR="00BE259B" w:rsidRPr="00ED7864">
        <w:rPr>
          <w:sz w:val="26"/>
          <w:szCs w:val="26"/>
        </w:rPr>
        <w:t xml:space="preserve"> </w:t>
      </w:r>
      <w:r w:rsidRPr="00ED7864">
        <w:rPr>
          <w:sz w:val="26"/>
          <w:szCs w:val="26"/>
        </w:rPr>
        <w:t xml:space="preserve"> 3) фрукты, овощи, мясо и изделия из мяса, мясо птицы, рыбы и изделия из мяса птицы, рыбы, цветы, аквариумные рыбки, птицы и домашние животные, предметы ухода за животными, птицами и рыбами </w:t>
      </w:r>
      <w:proofErr w:type="gramStart"/>
      <w:r w:rsidRPr="00ED7864">
        <w:rPr>
          <w:sz w:val="26"/>
          <w:szCs w:val="26"/>
        </w:rPr>
        <w:t xml:space="preserve">( </w:t>
      </w:r>
      <w:proofErr w:type="gramEnd"/>
      <w:r w:rsidRPr="00ED7864">
        <w:rPr>
          <w:sz w:val="26"/>
          <w:szCs w:val="26"/>
        </w:rPr>
        <w:t>в том числе корма) – 0,8;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 4) смешанные товары и все остальные товары – 0,7;</w:t>
      </w:r>
    </w:p>
    <w:p w:rsidR="00186A7F" w:rsidRPr="00ED7864" w:rsidRDefault="00186A7F" w:rsidP="00186A7F">
      <w:pPr>
        <w:jc w:val="both"/>
        <w:rPr>
          <w:sz w:val="26"/>
          <w:szCs w:val="26"/>
        </w:rPr>
      </w:pPr>
      <w:r w:rsidRPr="00ED7864">
        <w:rPr>
          <w:sz w:val="26"/>
          <w:szCs w:val="26"/>
        </w:rPr>
        <w:t xml:space="preserve">              </w:t>
      </w:r>
      <w:proofErr w:type="gramStart"/>
      <w:r w:rsidRPr="00ED7864">
        <w:rPr>
          <w:sz w:val="26"/>
          <w:szCs w:val="26"/>
        </w:rPr>
        <w:t xml:space="preserve">5) специализированная торговля товарами детского ассортимента, лекарственными средствами и фармацией, семенами, саженцами, печатной, книжной, бумажной 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– 0,5.      </w:t>
      </w:r>
      <w:proofErr w:type="gramEnd"/>
    </w:p>
    <w:p w:rsidR="00186A7F" w:rsidRPr="00ED7864" w:rsidRDefault="00186A7F" w:rsidP="00186A7F">
      <w:pPr>
        <w:jc w:val="both"/>
        <w:rPr>
          <w:sz w:val="26"/>
          <w:szCs w:val="26"/>
        </w:rPr>
      </w:pPr>
    </w:p>
    <w:p w:rsidR="00186A7F" w:rsidRPr="00ED7864" w:rsidRDefault="00186A7F" w:rsidP="00186A7F">
      <w:pPr>
        <w:jc w:val="both"/>
        <w:rPr>
          <w:sz w:val="26"/>
          <w:szCs w:val="26"/>
        </w:rPr>
      </w:pPr>
    </w:p>
    <w:p w:rsidR="00186A7F" w:rsidRPr="00ED7864" w:rsidRDefault="00186A7F" w:rsidP="00186A7F">
      <w:pPr>
        <w:jc w:val="both"/>
        <w:rPr>
          <w:sz w:val="26"/>
          <w:szCs w:val="26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jc w:val="both"/>
        <w:rPr>
          <w:sz w:val="28"/>
          <w:szCs w:val="28"/>
        </w:rPr>
      </w:pPr>
    </w:p>
    <w:p w:rsidR="00186A7F" w:rsidRPr="00D71AD0" w:rsidRDefault="00186A7F" w:rsidP="00186A7F">
      <w:pPr>
        <w:rPr>
          <w:sz w:val="28"/>
          <w:szCs w:val="28"/>
        </w:rPr>
      </w:pPr>
    </w:p>
    <w:p w:rsidR="00186A7F" w:rsidRPr="00D71AD0" w:rsidRDefault="00186A7F" w:rsidP="00186A7F">
      <w:pPr>
        <w:rPr>
          <w:sz w:val="28"/>
          <w:szCs w:val="28"/>
        </w:rPr>
      </w:pPr>
    </w:p>
    <w:p w:rsidR="00186A7F" w:rsidRPr="00D71AD0" w:rsidRDefault="00186A7F" w:rsidP="00186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A7F" w:rsidRPr="00D71AD0" w:rsidRDefault="00186A7F" w:rsidP="00186A7F">
      <w:pPr>
        <w:rPr>
          <w:sz w:val="28"/>
          <w:szCs w:val="28"/>
        </w:rPr>
      </w:pPr>
    </w:p>
    <w:p w:rsidR="00186A7F" w:rsidRPr="00D71AD0" w:rsidRDefault="00186A7F" w:rsidP="00186A7F">
      <w:pPr>
        <w:rPr>
          <w:sz w:val="28"/>
          <w:szCs w:val="28"/>
        </w:rPr>
      </w:pPr>
    </w:p>
    <w:p w:rsidR="00186A7F" w:rsidRDefault="00186A7F"/>
    <w:p w:rsidR="00186A7F" w:rsidRDefault="00186A7F"/>
    <w:p w:rsidR="00186A7F" w:rsidRDefault="00186A7F"/>
    <w:sectPr w:rsidR="00186A7F" w:rsidSect="008C6C5A">
      <w:pgSz w:w="11906" w:h="16838" w:code="9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D31"/>
    <w:multiLevelType w:val="hybridMultilevel"/>
    <w:tmpl w:val="D4CAD4E2"/>
    <w:lvl w:ilvl="0" w:tplc="9B5A3FC4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F555EB5"/>
    <w:multiLevelType w:val="hybridMultilevel"/>
    <w:tmpl w:val="7C820136"/>
    <w:lvl w:ilvl="0" w:tplc="4D006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77"/>
    <w:rsid w:val="000A73D0"/>
    <w:rsid w:val="00105086"/>
    <w:rsid w:val="00126183"/>
    <w:rsid w:val="00154E1E"/>
    <w:rsid w:val="00186A7F"/>
    <w:rsid w:val="00287FEA"/>
    <w:rsid w:val="002A6F57"/>
    <w:rsid w:val="003A2E7B"/>
    <w:rsid w:val="00571C2F"/>
    <w:rsid w:val="00634E85"/>
    <w:rsid w:val="006F2C77"/>
    <w:rsid w:val="007D2923"/>
    <w:rsid w:val="008631C9"/>
    <w:rsid w:val="0089540E"/>
    <w:rsid w:val="008C6C5A"/>
    <w:rsid w:val="009E10FC"/>
    <w:rsid w:val="00B20BED"/>
    <w:rsid w:val="00BE259B"/>
    <w:rsid w:val="00D71AD0"/>
    <w:rsid w:val="00E3485F"/>
    <w:rsid w:val="00ED7864"/>
    <w:rsid w:val="00F42B20"/>
    <w:rsid w:val="00F7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2E7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A2E7B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unhideWhenUsed/>
    <w:rsid w:val="00186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9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F0AE70146B52DAFCB5F870B1CFEE5ABFEA5E3188AC227A0B6D113D8BS7V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6E051552D9B0DE54C4F0AE70146B52DAFCB5F870B1CFEE5ABFEA5E3188AC227A0B6D113D85S7V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91CF-EB6E-4752-BD98-204FFD3B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2015-10-14T06:25:00Z</cp:lastPrinted>
  <dcterms:created xsi:type="dcterms:W3CDTF">2015-11-12T09:33:00Z</dcterms:created>
  <dcterms:modified xsi:type="dcterms:W3CDTF">2015-12-24T05:51:00Z</dcterms:modified>
</cp:coreProperties>
</file>