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С 1 сентября 2026 года заработает новый Порядок государственной или муниципальной экспертизы проекта освоения лесов</w:t>
      </w:r>
    </w:p>
    <w:p w14:paraId="02000000">
      <w:pPr>
        <w:rPr>
          <w:rFonts w:ascii="Times New Roman" w:hAnsi="Times New Roman"/>
          <w:b w:val="0"/>
        </w:rPr>
      </w:pPr>
    </w:p>
    <w:p w14:paraId="03000000">
      <w:p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Приказ Минприроды России от 03.03.2026 № 113 «Об утверждении Порядка государственной или муниципальной экспертизы проекта освоения лесов»</w:t>
      </w:r>
    </w:p>
    <w:p w14:paraId="04000000">
      <w:pPr>
        <w:rPr>
          <w:rFonts w:ascii="Times New Roman" w:hAnsi="Times New Roman"/>
          <w:b w:val="0"/>
        </w:rPr>
      </w:pPr>
    </w:p>
    <w:p w14:paraId="05000000">
      <w:p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Целью экспертизы является оценка соответствия проекта, изменений в него нормам лесного законодательства, законодательства об охране окружающей среды, целям и видам освоения лесов, предусмотренным проектом освоения лесов, договору аренды лесного участка, решению о предоставлении лесного участка в постоянное (бессрочное) пользование, решению об установлении публичного сервитута и (или) соглашению об осуществлении публичного сервитута (при наличии), соглашению об установлении сервитута, лесохозяйственному регламенту лесничества, лесному плану субъекта РФ.</w:t>
      </w:r>
    </w:p>
    <w:p w14:paraId="06000000">
      <w:p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Утратит силу аналогичный приказ Минприроды России от 30.07.2020 № 513.</w:t>
      </w:r>
    </w:p>
    <w:p w14:paraId="07000000">
      <w:p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Настоящий приказ действует до 1 сентября 2032.</w:t>
      </w:r>
    </w:p>
    <w:p w14:paraId="08000000">
      <w:pPr>
        <w:rPr>
          <w:rFonts w:ascii="Times New Roman" w:hAnsi="Times New Roman"/>
          <w:b w:val="0"/>
        </w:rPr>
      </w:pPr>
    </w:p>
    <w:p w14:paraId="09000000">
      <w:pPr>
        <w:rPr>
          <w:rFonts w:ascii="Times New Roman" w:hAnsi="Times New Roman"/>
          <w:b w:val="0"/>
        </w:rPr>
      </w:pPr>
    </w:p>
    <w:p w14:paraId="0A000000">
      <w:pPr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0B000000">
      <w:pPr>
        <w:spacing w:after="0" w:before="0"/>
        <w:ind w:firstLine="0" w:left="0" w:right="0"/>
        <w:jc w:val="both"/>
        <w:rPr>
          <w:rFonts w:ascii="Times New Roman" w:hAnsi="Times New Roman"/>
          <w:b w:val="1"/>
          <w:color w:val="000000"/>
          <w:u w:val="none"/>
        </w:rPr>
      </w:pPr>
      <w:r>
        <w:rPr>
          <w:rFonts w:ascii="Times New Roman" w:hAnsi="Times New Roman"/>
          <w:b w:val="1"/>
          <w:color w:val="000000"/>
          <w:u w:val="none"/>
        </w:rPr>
        <w:t xml:space="preserve">Постановлением Законодательного Собрания Оренбургской области принят </w:t>
      </w:r>
      <w:r>
        <w:rPr>
          <w:rFonts w:ascii="Times New Roman" w:hAnsi="Times New Roman"/>
          <w:b w:val="1"/>
          <w:strike w:val="0"/>
          <w:color w:val="000000"/>
          <w:u w:color="000000" w:val="none"/>
        </w:rPr>
        <w:t>Закон</w:t>
      </w:r>
      <w:r>
        <w:rPr>
          <w:rFonts w:ascii="Times New Roman" w:hAnsi="Times New Roman"/>
          <w:b w:val="1"/>
          <w:color w:val="000000"/>
          <w:u w:val="none"/>
        </w:rPr>
        <w:t xml:space="preserve"> </w:t>
      </w:r>
      <w:r>
        <w:rPr>
          <w:rFonts w:ascii="Times New Roman" w:hAnsi="Times New Roman"/>
          <w:b w:val="1"/>
          <w:color w:val="000000"/>
          <w:u w:val="none"/>
        </w:rPr>
        <w:t xml:space="preserve">Оренбургской области от 29.04.2026 № 1870/792-VII-ОЗ </w:t>
      </w:r>
      <w:r>
        <w:rPr>
          <w:rFonts w:ascii="Times New Roman" w:hAnsi="Times New Roman"/>
          <w:b w:val="1"/>
          <w:color w:val="000000"/>
          <w:u w:val="none"/>
        </w:rPr>
        <w:t>«Об отдельных вопросах перевода земель сельскохозяйственного назначения или земельных участков в составе таких земель из одной категории в другую в Оренбургской области»</w:t>
      </w:r>
    </w:p>
    <w:p w14:paraId="0C000000">
      <w:pPr>
        <w:spacing w:after="0" w:before="0"/>
        <w:ind w:firstLine="0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 </w:t>
      </w:r>
    </w:p>
    <w:p w14:paraId="0D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Для перевода земель сельскохозяйственного назначения или земельных участков в составе таких земель из одной категории в другую заинтересованным лицом подается ходатайство в исполнительный орган Оренбургской области в сфере управления и распоряжения земельными ресурсами. Ходатайство рассматривается в порядке, установленном Федеральным законом от 21.12.2004 N 172-ФЗ.</w:t>
      </w:r>
    </w:p>
    <w:p w14:paraId="0E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При наличии оснований для отказа Правительство Оренбургской области в течение двух месяцев со дня поступления ходатайства в уполномоченный орган принимает акт об отказе в переводе земель.</w:t>
      </w:r>
    </w:p>
    <w:p w14:paraId="0F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Если основания для отказа отсутствуют, уполномоченный орган обязан в месячный срок после получения ходатайства внести Губернатору Оренбургской области предложение о смене категории земель или участков сельскохозяйственного назначения.</w:t>
      </w:r>
    </w:p>
    <w:p w14:paraId="10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Предложение оформляется в форме проекта закона Оренбургской области.</w:t>
      </w:r>
    </w:p>
    <w:p w14:paraId="11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При одобрении предложения Губернатор Оренбургской области направляет в Законодательное Собрание проект закона (законодательную инициативу), закрепляющий смену категории земель или участков сельскохозяйственного назначения. А в случае несогласия Губернатора с предложением Правительством Оренбургской области в течение двух месяцев со дня поступления ходатайства принимается акт об отказе в переводе земель.</w:t>
      </w:r>
    </w:p>
    <w:p w14:paraId="12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Законодательное Собрание области приступает к рассмотрению вопроса о переводе сельхозугодий в другую категорию только при наличии заключения уполномоченного федерального органа исполнительной власти. Если такое заключение не поступило в срок, установленный статьей 3 Федерального закона № 172-ФЗ, рассмотрение проводится без него.</w:t>
      </w:r>
    </w:p>
    <w:p w14:paraId="13000000">
      <w:pPr>
        <w:spacing w:after="0" w:before="0" w:line="240" w:lineRule="auto"/>
        <w:ind w:firstLine="709" w:left="0" w:right="0"/>
        <w:jc w:val="both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Правительство Оренбургской области принимает акт о переводе земель сельскохозяйственного назначения или земельных участков в составе таких земель из одной категории в другую либо акт об отказе в переводе земель в течение двух месяцев со дня поступления ходатайства в уполномоченный орган.</w:t>
      </w:r>
    </w:p>
    <w:p w14:paraId="14000000">
      <w:pPr>
        <w:pStyle w:val="Style_1"/>
        <w:spacing w:before="0" w:line="240" w:lineRule="auto"/>
        <w:ind w:firstLine="709"/>
        <w:rPr>
          <w:rFonts w:ascii="Times New Roman" w:hAnsi="Times New Roman"/>
          <w:b w:val="0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2026-05-28T07:27:25Z</dcterms:created>
  <dcterms:modified xsi:type="dcterms:W3CDTF">2026-05-28T07:27:25Z</dcterms:modified>
</cp:coreProperties>
</file>