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Отчет ЗА 2024 ГОД 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 w:rsidRPr="00FA15BF">
        <w:rPr>
          <w:sz w:val="28"/>
        </w:rPr>
        <w:t>Молодежь – наше будущее.</w:t>
      </w:r>
      <w:r>
        <w:rPr>
          <w:sz w:val="28"/>
        </w:rPr>
        <w:t xml:space="preserve"> На территории округа проживает 9 826  молодых людей </w:t>
      </w:r>
      <w:r w:rsidRPr="00F13710">
        <w:rPr>
          <w:i/>
          <w:sz w:val="28"/>
        </w:rPr>
        <w:t xml:space="preserve">(АППГ - </w:t>
      </w:r>
      <w:r w:rsidRPr="00F13710">
        <w:rPr>
          <w:sz w:val="28"/>
        </w:rPr>
        <w:t>10 087</w:t>
      </w:r>
      <w:r w:rsidRPr="00F13710">
        <w:rPr>
          <w:i/>
          <w:sz w:val="28"/>
        </w:rPr>
        <w:t>)</w:t>
      </w:r>
      <w:r>
        <w:rPr>
          <w:sz w:val="28"/>
        </w:rPr>
        <w:t xml:space="preserve"> в возрасте от 14 до 35 лет, что составляет четверть населения и означает, что у нас есть большой потенциал для развития. 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b/>
          <w:sz w:val="28"/>
        </w:rPr>
      </w:pPr>
      <w:r w:rsidRPr="00FA15BF">
        <w:rPr>
          <w:sz w:val="28"/>
        </w:rPr>
        <w:t xml:space="preserve">Молодость - время энергии, амбиций и стремления изменить мир. Однако сегодня мы отмечаем тревожную тенденцию: социальную апатию, пассивность у многих представителей молодого поколения. Вместо участия в </w:t>
      </w:r>
      <w:r>
        <w:rPr>
          <w:sz w:val="28"/>
        </w:rPr>
        <w:t>значимых социальных инициативах</w:t>
      </w:r>
      <w:r w:rsidRPr="00FA15BF">
        <w:rPr>
          <w:sz w:val="28"/>
        </w:rPr>
        <w:t xml:space="preserve"> молодые люди их игнорируют, предпочитают развлечения, праздники и виртуальное пространство. Например, ни один субботник в прошлом году не был организован молодежью. Никаких ярких, творческих инициатив от молодежи не поступало. </w:t>
      </w:r>
      <w:r>
        <w:rPr>
          <w:sz w:val="28"/>
        </w:rPr>
        <w:t xml:space="preserve">В 2024 году проведено более 50 молодежных акций, все по инициативе администрации округа. </w:t>
      </w:r>
      <w:r>
        <w:rPr>
          <w:b/>
          <w:sz w:val="28"/>
        </w:rPr>
        <w:t xml:space="preserve"> 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>Ключевыми направлениями работы с молодёжью в 2024 году являлись: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- гражданско-патриотическое воспитание; 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- вовлечение в добровольческую деятельность; 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- молодёжное самоуправление; 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>- профориентация;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>- оказание государственной и муниципальной  поддержки в приобретении (строительстве) жилья молодыми семьями, нуждающимися в улучшении жилищных условий.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2024 году 8 молодых семей получили свидетельства на приобретение жилья на сумму 13,2 </w:t>
      </w:r>
      <w:proofErr w:type="gramStart"/>
      <w:r>
        <w:rPr>
          <w:sz w:val="28"/>
        </w:rPr>
        <w:t>млн</w:t>
      </w:r>
      <w:proofErr w:type="gramEnd"/>
      <w:r>
        <w:rPr>
          <w:sz w:val="28"/>
        </w:rPr>
        <w:t xml:space="preserve"> рублей. За период 2019-2024 годов улучшили свои жилищные условия 36 молодых семей на общую сумму 43,2 </w:t>
      </w:r>
      <w:proofErr w:type="gramStart"/>
      <w:r>
        <w:rPr>
          <w:sz w:val="28"/>
        </w:rPr>
        <w:t>млн</w:t>
      </w:r>
      <w:proofErr w:type="gramEnd"/>
      <w:r>
        <w:rPr>
          <w:sz w:val="28"/>
        </w:rPr>
        <w:t xml:space="preserve"> руб. 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 xml:space="preserve">Наши парни в это самое время в зоне СВО штурмуют укрепы противника, выводят из-под обстрелов женщин и детей, жертвуют собой ради нашего будущего. Часть нашей молодёжь активно занимается общественной работой. В отчетном периоде на территории округа действовало 6 молодежных волонтерских объединений. Количество молодых людей, занятых добровольческой деятельностью, - 2800 человек. Продолжилась работа в рамках всероссийской акции «Мы вместе», которая в 2024 году наполнилась новым содержанием – помощью семьям военнослужащих. Волонтеры округа помогали в реализации федерального проекта «Формирование комфортной городской среды», в проведении муниципальных мероприятий и т.д. 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>Задачи в сфере молодежной политики округа</w:t>
      </w:r>
      <w:r>
        <w:rPr>
          <w:sz w:val="28"/>
        </w:rPr>
        <w:t xml:space="preserve"> на 2025 год</w:t>
      </w:r>
      <w:r>
        <w:rPr>
          <w:sz w:val="28"/>
        </w:rPr>
        <w:t>: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>1. Совместная работа с руководителями предприятий по адаптации и поддержке молодых специалистов.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</w:rPr>
      </w:pPr>
      <w:r>
        <w:rPr>
          <w:sz w:val="28"/>
        </w:rPr>
        <w:t>2. Патриотическое воспитание молодёжи.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  <w:highlight w:val="white"/>
        </w:rPr>
      </w:pPr>
      <w:r>
        <w:rPr>
          <w:sz w:val="28"/>
        </w:rPr>
        <w:t xml:space="preserve">3. </w:t>
      </w:r>
      <w:r>
        <w:rPr>
          <w:sz w:val="28"/>
          <w:highlight w:val="white"/>
        </w:rPr>
        <w:t>Создание условий для поддержки и развития инициативной и талантливой молодёжи округа.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4. Развитие добровольческого (волонтёрского) движения в молодёжной среде. </w:t>
      </w:r>
    </w:p>
    <w:p w:rsidR="00EC5A30" w:rsidRDefault="00EC5A30" w:rsidP="00EC5A30">
      <w:pPr>
        <w:widowControl w:val="0"/>
        <w:tabs>
          <w:tab w:val="left" w:pos="9540"/>
        </w:tabs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5. Формирование в молодёжной среде социально значимых установок здорового образа жизни, системы традиционных семейных ценностей, толерантности. </w:t>
      </w:r>
      <w:bookmarkStart w:id="0" w:name="_GoBack"/>
      <w:bookmarkEnd w:id="0"/>
    </w:p>
    <w:sectPr w:rsidR="00EC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3A"/>
    <w:rsid w:val="00414F3A"/>
    <w:rsid w:val="007B2226"/>
    <w:rsid w:val="00E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3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3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2025-08-17T13:27:00Z</dcterms:created>
  <dcterms:modified xsi:type="dcterms:W3CDTF">2025-08-17T13:28:00Z</dcterms:modified>
</cp:coreProperties>
</file>