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FB740" w14:textId="77777777" w:rsidR="00F74B2D" w:rsidRPr="00F74B2D" w:rsidRDefault="00F74B2D" w:rsidP="00F74B2D">
      <w:pPr>
        <w:ind w:firstLine="709"/>
        <w:jc w:val="center"/>
        <w:rPr>
          <w:sz w:val="28"/>
          <w:szCs w:val="28"/>
        </w:rPr>
      </w:pPr>
    </w:p>
    <w:p w14:paraId="6ED5C007" w14:textId="77777777" w:rsidR="00F74B2D" w:rsidRPr="00F74B2D" w:rsidRDefault="00F74B2D" w:rsidP="00F74B2D">
      <w:pPr>
        <w:ind w:firstLine="709"/>
        <w:jc w:val="center"/>
        <w:rPr>
          <w:sz w:val="28"/>
          <w:szCs w:val="28"/>
        </w:rPr>
      </w:pPr>
      <w:bookmarkStart w:id="0" w:name="_GoBack"/>
      <w:r w:rsidRPr="00F74B2D">
        <w:rPr>
          <w:rFonts w:eastAsia="Liberation Sans"/>
          <w:b/>
          <w:color w:val="333333"/>
          <w:sz w:val="28"/>
          <w:szCs w:val="28"/>
          <w:highlight w:val="white"/>
        </w:rPr>
        <w:t>Вводится уголовная ответственность за нарушение требований к антитеррористической защищенности объектов</w:t>
      </w:r>
    </w:p>
    <w:p w14:paraId="1934CC13" w14:textId="77777777" w:rsidR="00F74B2D" w:rsidRPr="00F74B2D" w:rsidRDefault="00F74B2D" w:rsidP="00F74B2D">
      <w:pPr>
        <w:ind w:firstLine="709"/>
        <w:jc w:val="center"/>
        <w:rPr>
          <w:sz w:val="28"/>
          <w:szCs w:val="28"/>
        </w:rPr>
      </w:pPr>
    </w:p>
    <w:p w14:paraId="1985AE60"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14:paraId="387F589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14:paraId="0875754A"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w:t>
      </w:r>
      <w:bookmarkEnd w:id="0"/>
      <w:r w:rsidRPr="00F74B2D">
        <w:rPr>
          <w:rFonts w:eastAsia="Liberation Sans"/>
          <w:color w:val="333333"/>
          <w:sz w:val="28"/>
          <w:szCs w:val="28"/>
        </w:rPr>
        <w:t>180 дней.</w:t>
      </w:r>
    </w:p>
    <w:p w14:paraId="1D215DB8"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14:paraId="24151A69"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14:paraId="58A2FB52"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14:paraId="7F905612"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Минпромторга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14:paraId="5F42F636" w14:textId="77777777" w:rsidR="00F74B2D" w:rsidRPr="00F74B2D" w:rsidRDefault="00F74B2D" w:rsidP="00F74B2D">
      <w:pPr>
        <w:ind w:firstLine="709"/>
        <w:jc w:val="center"/>
        <w:rPr>
          <w:sz w:val="28"/>
          <w:szCs w:val="28"/>
        </w:rPr>
      </w:pPr>
    </w:p>
    <w:p w14:paraId="26EC5142" w14:textId="77777777" w:rsidR="00F74B2D" w:rsidRPr="00F74B2D" w:rsidRDefault="00F74B2D" w:rsidP="00F74B2D">
      <w:pPr>
        <w:ind w:firstLine="709"/>
        <w:jc w:val="center"/>
        <w:rPr>
          <w:sz w:val="28"/>
          <w:szCs w:val="28"/>
        </w:rPr>
      </w:pPr>
    </w:p>
    <w:p w14:paraId="52F60A12"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С 01 сентября 2024 года изменится порядок создания и ведения государственного реестра объектов, оказывающих негативное воздействие на окружающую среду</w:t>
      </w:r>
    </w:p>
    <w:p w14:paraId="43ED3E1D" w14:textId="77777777" w:rsidR="00F74B2D" w:rsidRPr="00F74B2D" w:rsidRDefault="00F74B2D" w:rsidP="00F74B2D">
      <w:pPr>
        <w:ind w:firstLine="709"/>
        <w:jc w:val="center"/>
        <w:rPr>
          <w:sz w:val="28"/>
          <w:szCs w:val="28"/>
        </w:rPr>
      </w:pPr>
    </w:p>
    <w:p w14:paraId="7F74B5C0"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lastRenderedPageBreak/>
        <w:t>Статьей 69.2 Федерального закона от 10.01.2002 № 7-ФЗ «Об охране окружающей среды» установлена обязанность для юридических лиц и индивидуальных предпринимателей по постановке на государственный учет объектов, оказывающих негативное воздействие на окружающую среду.</w:t>
      </w:r>
    </w:p>
    <w:p w14:paraId="3B6D7113"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настоящее время в реестре объектов НВОС содержатся данные об объектах, оказывающих негативное воздействие на окружающую среду, относящихся к I, II, III и IV категориям. По состоянию на май 2024 года на территории Московской области эксплуатируются 10 919 объектов НВОС, из них 158 - I категории, 3 142 -  II, 5 491 - III, 2 128 - IV, о чем в реестр внесены соответствующие сведения.</w:t>
      </w:r>
    </w:p>
    <w:p w14:paraId="7097B626"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На основании постановления Правительства Российской Федерации от 15.04.2024 №473 в Правила создания и ведения государственного реестра объектов, оказывающих негативное воздействие на окружающую среду, внесены изменения, согласно которым с 01.09.2024 объекты НВОС IV категории постановке на соответствующий учет и внесению в реестр не подлежат в связи с их незначительной нагрузкой на окружающую среду.</w:t>
      </w:r>
    </w:p>
    <w:p w14:paraId="0733BE4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На территориальные органы Федеральной службы по надзору в сфере природопользования, исполнительные органы субъекта Российской Федерации в соответствии с их компетенцией возложена обязанность по корректировке и последующему исключению сведений об объектах указанной категории из реестра объектов НВОС.</w:t>
      </w:r>
    </w:p>
    <w:p w14:paraId="67166D32" w14:textId="77777777" w:rsidR="00F74B2D" w:rsidRPr="00F74B2D" w:rsidRDefault="00F74B2D" w:rsidP="00F74B2D">
      <w:pPr>
        <w:ind w:firstLine="709"/>
        <w:jc w:val="center"/>
        <w:rPr>
          <w:sz w:val="28"/>
          <w:szCs w:val="28"/>
        </w:rPr>
      </w:pPr>
    </w:p>
    <w:p w14:paraId="62681019" w14:textId="77777777" w:rsidR="00F74B2D" w:rsidRPr="00F74B2D" w:rsidRDefault="00F74B2D" w:rsidP="00F74B2D">
      <w:pPr>
        <w:ind w:firstLine="709"/>
        <w:jc w:val="center"/>
        <w:rPr>
          <w:sz w:val="28"/>
          <w:szCs w:val="28"/>
        </w:rPr>
      </w:pPr>
    </w:p>
    <w:p w14:paraId="4D3E6F5D"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Трудовые гарантии участникам СВО</w:t>
      </w:r>
    </w:p>
    <w:p w14:paraId="6F432C48" w14:textId="77777777" w:rsidR="00F74B2D" w:rsidRPr="00F74B2D" w:rsidRDefault="00F74B2D" w:rsidP="00F74B2D">
      <w:pPr>
        <w:ind w:firstLine="709"/>
        <w:jc w:val="center"/>
        <w:rPr>
          <w:sz w:val="28"/>
          <w:szCs w:val="28"/>
        </w:rPr>
      </w:pPr>
    </w:p>
    <w:p w14:paraId="7F06BCC4"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408499B9"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14:paraId="3A0A250D"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период приостановления действия трудового договора за работником сохраняется место работы (должность),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323C2B35"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lastRenderedPageBreak/>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49524EAB"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Действие трудового договора возобновляется в день выхода работника на работу. Работник обязан предупредить о своем выходе на работу не позднее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75A0DBB9"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71A2DBC"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14:paraId="025963EF"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случае,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14:paraId="3A5B8B1C"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
    <w:p w14:paraId="64F48F5B" w14:textId="77777777" w:rsidR="00F74B2D" w:rsidRPr="00F74B2D" w:rsidRDefault="00F74B2D" w:rsidP="00F74B2D">
      <w:pPr>
        <w:ind w:firstLine="709"/>
        <w:jc w:val="center"/>
        <w:rPr>
          <w:sz w:val="28"/>
          <w:szCs w:val="28"/>
        </w:rPr>
      </w:pPr>
    </w:p>
    <w:p w14:paraId="152C9344" w14:textId="77777777" w:rsidR="00F74B2D" w:rsidRPr="00F74B2D" w:rsidRDefault="00F74B2D" w:rsidP="00F74B2D">
      <w:pPr>
        <w:ind w:firstLine="709"/>
        <w:jc w:val="center"/>
        <w:rPr>
          <w:sz w:val="28"/>
          <w:szCs w:val="28"/>
        </w:rPr>
      </w:pPr>
    </w:p>
    <w:p w14:paraId="6A1A5F2F"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Административная ответственность за нарушение срока и порядка оплаты товаров, работ, услуг при осуществлении закупок для обеспечения государственных и муниципальных нужд</w:t>
      </w:r>
    </w:p>
    <w:p w14:paraId="10C272DB" w14:textId="77777777" w:rsidR="00F74B2D" w:rsidRPr="00F74B2D" w:rsidRDefault="00F74B2D" w:rsidP="00F74B2D">
      <w:pPr>
        <w:ind w:firstLine="709"/>
        <w:jc w:val="center"/>
        <w:rPr>
          <w:sz w:val="28"/>
          <w:szCs w:val="28"/>
        </w:rPr>
      </w:pPr>
    </w:p>
    <w:p w14:paraId="0EBCFACD"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Закупкой товара, работы либо услуги для обеспечения государственных или муниципальных нужд является совокупность действий, направленных на обеспечение государственных или муниципальных нужд за счет средств государственного бюджета с целью эффективного их использования.</w:t>
      </w:r>
    </w:p>
    <w:p w14:paraId="02EE49A4"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торгах на закупку товара, работы, услуги принимают участие потенциальные поставщики и подрядчики, которые подают соответствующие заявки. По итогам торгов с победителем заключается контракт, в котором обязательно должны содержаться сведения о сроках оплаты работ и порядок их проведения.</w:t>
      </w:r>
    </w:p>
    <w:p w14:paraId="0A8BD0C7"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Оплата заказчиком контракта может осуществляться как в полном единовременном перечислении средств, так и в поэтапной оплате по мере исполнения контракта либо авансировании. Срок оплаты по контракту составляет от 7 рабочих до 30 календарных дней и зависит от разных условий (если расчеты по контракту или аванс по нему подлежат казначейскому сопровождению, стороны заключили контракт по обеспечению обороны и безопасности государства и другое).</w:t>
      </w:r>
    </w:p>
    <w:p w14:paraId="30D51E9D"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За нарушение должностным лицом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предусмотрена административная ответственность по статье 7.32.5 Кодекса Российской Федерации об административных правонарушениях. Наказанием за данное правонарушение является штраф в размере от 30 тыс. до 50 тыс. рублей.</w:t>
      </w:r>
    </w:p>
    <w:p w14:paraId="7B043FF8"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Если должностное лицо ранее привлекалось к административной ответственности за аналогичное правонарушение, ему грозит дисквалификация на срок от одного года до двух лет.</w:t>
      </w:r>
    </w:p>
    <w:p w14:paraId="6D1700F8"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О приеме на работу при отсутствии документов воинского учета</w:t>
      </w:r>
    </w:p>
    <w:p w14:paraId="268D13AB"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Согласно ст. 65 Трудового кодекса РФ при заключении трудового договора военнообязанные и лица, подлежащие призыву на военную службу, поступающие на работу, предъявляют работодателю, наряду с другими документами, документы воинского учета (военный билет, справка взамен военного билета, удостоверение гражданина, подлежащего призыву на военную службу, в том числе в форме электронного документа).</w:t>
      </w:r>
    </w:p>
    <w:p w14:paraId="0D385E6A"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Отсутствие у лица, поступающего на работу, документов воинского учета не указано в трудовом законодательстве в качестве обстоятельства, исключающего возможность его трудоустройства, а также их отсутствие не связано с его деловыми качествами.</w:t>
      </w:r>
    </w:p>
    <w:p w14:paraId="468AD370"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целях обеспечения постановки граждан на воинский учет по месту работы работники, осуществляющие воинский учет в организациях, в частности (</w:t>
      </w:r>
      <w:proofErr w:type="spellStart"/>
      <w:r w:rsidRPr="00F74B2D">
        <w:rPr>
          <w:rFonts w:eastAsia="Liberation Sans"/>
          <w:color w:val="333333"/>
          <w:sz w:val="28"/>
          <w:szCs w:val="28"/>
        </w:rPr>
        <w:t>пп</w:t>
      </w:r>
      <w:proofErr w:type="spellEnd"/>
      <w:r w:rsidRPr="00F74B2D">
        <w:rPr>
          <w:rFonts w:eastAsia="Liberation Sans"/>
          <w:color w:val="333333"/>
          <w:sz w:val="28"/>
          <w:szCs w:val="28"/>
        </w:rPr>
        <w:t>. «а», «г», «д» п. 30 постановления Правительства Российской Федерации от 27.11.2006 №719 «Об утверждении Положения о воинском учете»):</w:t>
      </w:r>
    </w:p>
    <w:p w14:paraId="56DE3BBD" w14:textId="77777777" w:rsidR="00F74B2D" w:rsidRPr="00F74B2D" w:rsidRDefault="00F74B2D" w:rsidP="00F74B2D">
      <w:pPr>
        <w:pStyle w:val="a3"/>
        <w:numPr>
          <w:ilvl w:val="0"/>
          <w:numId w:val="1"/>
        </w:numPr>
        <w:pBdr>
          <w:top w:val="none" w:sz="4" w:space="0" w:color="000000"/>
          <w:left w:val="none" w:sz="4" w:space="0" w:color="000000"/>
          <w:bottom w:val="none" w:sz="4" w:space="0" w:color="000000"/>
          <w:right w:val="none" w:sz="4" w:space="0" w:color="000000"/>
        </w:pBdr>
        <w:ind w:left="0" w:firstLine="709"/>
        <w:jc w:val="both"/>
        <w:rPr>
          <w:sz w:val="28"/>
          <w:szCs w:val="28"/>
        </w:rPr>
      </w:pPr>
      <w:r w:rsidRPr="00F74B2D">
        <w:rPr>
          <w:rFonts w:eastAsia="Liberation Sans"/>
          <w:color w:val="333333"/>
          <w:sz w:val="28"/>
          <w:szCs w:val="28"/>
        </w:rPr>
        <w:t xml:space="preserve">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w:t>
      </w:r>
      <w:r w:rsidRPr="00F74B2D">
        <w:rPr>
          <w:rFonts w:eastAsia="Liberation Sans"/>
          <w:color w:val="333333"/>
          <w:sz w:val="28"/>
          <w:szCs w:val="28"/>
        </w:rPr>
        <w:lastRenderedPageBreak/>
        <w:t>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ВС РФ (для военнообязанных при наличии в военном билете отметки об их вручении);</w:t>
      </w:r>
    </w:p>
    <w:p w14:paraId="26A6A983" w14:textId="77777777" w:rsidR="00F74B2D" w:rsidRPr="00F74B2D" w:rsidRDefault="00F74B2D" w:rsidP="00F74B2D">
      <w:pPr>
        <w:pStyle w:val="a3"/>
        <w:numPr>
          <w:ilvl w:val="0"/>
          <w:numId w:val="2"/>
        </w:numPr>
        <w:pBdr>
          <w:top w:val="none" w:sz="4" w:space="0" w:color="000000"/>
          <w:left w:val="none" w:sz="4" w:space="0" w:color="000000"/>
          <w:bottom w:val="none" w:sz="4" w:space="0" w:color="000000"/>
          <w:right w:val="none" w:sz="4" w:space="0" w:color="000000"/>
        </w:pBdr>
        <w:ind w:left="0" w:firstLine="709"/>
        <w:jc w:val="both"/>
        <w:rPr>
          <w:sz w:val="28"/>
          <w:szCs w:val="28"/>
        </w:rPr>
      </w:pPr>
      <w:r w:rsidRPr="00F74B2D">
        <w:rPr>
          <w:rFonts w:eastAsia="Liberation Sans"/>
          <w:color w:val="333333"/>
          <w:sz w:val="28"/>
          <w:szCs w:val="28"/>
        </w:rPr>
        <w:t>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14:paraId="62C1D6FC" w14:textId="77777777" w:rsidR="00F74B2D" w:rsidRPr="00F74B2D" w:rsidRDefault="00F74B2D" w:rsidP="00F74B2D">
      <w:pPr>
        <w:pStyle w:val="a3"/>
        <w:numPr>
          <w:ilvl w:val="0"/>
          <w:numId w:val="3"/>
        </w:numPr>
        <w:pBdr>
          <w:top w:val="none" w:sz="4" w:space="0" w:color="000000"/>
          <w:left w:val="none" w:sz="4" w:space="0" w:color="000000"/>
          <w:bottom w:val="none" w:sz="4" w:space="0" w:color="000000"/>
          <w:right w:val="none" w:sz="4" w:space="0" w:color="000000"/>
        </w:pBdr>
        <w:ind w:left="0" w:firstLine="709"/>
        <w:jc w:val="both"/>
        <w:rPr>
          <w:sz w:val="28"/>
          <w:szCs w:val="28"/>
        </w:rPr>
      </w:pPr>
      <w:r w:rsidRPr="00F74B2D">
        <w:rPr>
          <w:rFonts w:eastAsia="Liberation Sans"/>
          <w:color w:val="333333"/>
          <w:sz w:val="28"/>
          <w:szCs w:val="28"/>
        </w:rPr>
        <w:t>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трех месяцев и не имеющим регистрации по месту пребывания,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w:t>
      </w:r>
    </w:p>
    <w:p w14:paraId="41617DEE"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Согласно Федерального закона Российской Федерации «О воинской обязанности и военной службе» руководители, другие ответственные за военно-учетную работу должностные лица (работники) организаций обязаны направлять сведения о принятых на работу граждан, состоящих на воинском учете, а также не состоящих, но обязанных состоять в военные комиссариаты в течение 5 дней со дня изменения соответствующих сведений, а сведения о случаях выявления граждан, не состоящих на воинском учете, но обязанных состоять, - в течение 3 рабочих дней, в том числе с использованием «Единого портала государственных и муниципальных услуг (функций)» или при наличии технической возможности с использованием регионального портала государственных и муниципальных услуг (функций)</w:t>
      </w:r>
    </w:p>
    <w:p w14:paraId="5428DB04"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За несообщение или несвоевременное предоставление должностными лицами организаций в установленном законом порядке сведений, необходимых для ведения воинского учета, предусмотрена административная ответственность по ст. 21.4 КоАП РФ в виде административного штрафа в размере от 40 до 50 тыс. руб. Неисполнение гражданами обязанностей по воинскому учету, в том числе не сообщение в военный комиссариат или орган, осуществляющий первичный воинский учет о месте работы или должности также предусмотрена административная ответственность по ст. 21.5 КоАП РФ.</w:t>
      </w:r>
    </w:p>
    <w:p w14:paraId="3E671433" w14:textId="77777777" w:rsidR="00F74B2D" w:rsidRPr="00F74B2D" w:rsidRDefault="00F74B2D" w:rsidP="00F74B2D">
      <w:pPr>
        <w:ind w:firstLine="709"/>
        <w:jc w:val="center"/>
        <w:rPr>
          <w:sz w:val="28"/>
          <w:szCs w:val="28"/>
        </w:rPr>
      </w:pPr>
    </w:p>
    <w:p w14:paraId="137ECA03" w14:textId="77777777" w:rsidR="00F74B2D" w:rsidRPr="00F74B2D" w:rsidRDefault="00F74B2D" w:rsidP="00F74B2D">
      <w:pPr>
        <w:ind w:firstLine="709"/>
        <w:jc w:val="center"/>
        <w:rPr>
          <w:sz w:val="28"/>
          <w:szCs w:val="28"/>
        </w:rPr>
      </w:pPr>
    </w:p>
    <w:p w14:paraId="021894A2"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О конфискации имущества</w:t>
      </w:r>
    </w:p>
    <w:p w14:paraId="040ABF88" w14:textId="77777777" w:rsidR="00F74B2D" w:rsidRPr="00F74B2D" w:rsidRDefault="00F74B2D" w:rsidP="00F74B2D">
      <w:pPr>
        <w:ind w:firstLine="709"/>
        <w:jc w:val="center"/>
        <w:rPr>
          <w:sz w:val="28"/>
          <w:szCs w:val="28"/>
        </w:rPr>
      </w:pPr>
    </w:p>
    <w:p w14:paraId="2B626C1F"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В соответствии со ст. 104.1 Уголовного кодекса РФ конфискация имущества – это принудительное безвозмездное изъятие и обращение в собственность </w:t>
      </w:r>
      <w:r w:rsidRPr="00F74B2D">
        <w:rPr>
          <w:rFonts w:eastAsia="Liberation Sans"/>
          <w:color w:val="333333"/>
          <w:sz w:val="28"/>
          <w:szCs w:val="28"/>
        </w:rPr>
        <w:lastRenderedPageBreak/>
        <w:t>государства. Поскольку конфискация имущества связана с ограничением конституционного права граждан на частную собственность, она может осуществляться только судом и в точном соответствии с положениями Конституции РФ, требованиями уголовного и уголовно-процессуального законодательства.</w:t>
      </w:r>
    </w:p>
    <w:p w14:paraId="79DAB61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На основании п. «а», «б» ч. 1 ст. 104.1 УК РФ конфискации подлежат деньги, ценности и иное имущество, а также Доходы от него, полученные в результате совершения ряда преступлений, или явились предметом незаконного перемещения через таможенную границу либо через Государственную границу РФ. Доходами от денег, ценностей и иного имущества, могут быть признаны, в частности, суммы, полученные в кредитных организациях в виде процентов по счетам за использование таких денежных средств, арендная или иная плата, полученная за передачу имущества в возмездное пользование другим лицам, плата за оказание услуг с использованием такого имущества.</w:t>
      </w:r>
    </w:p>
    <w:p w14:paraId="5687B2CE"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Также в собственность государства обращаются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преобразованы. Например, конфискации подлежат новые объекты собственности, возникшие в результате реконструкции недвижимого имущества, приобретенного преступным путем.</w:t>
      </w:r>
    </w:p>
    <w:p w14:paraId="2EE37E66"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Согласно пункту «в» ч. 1 ст. 104.1 УК РФ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w:t>
      </w:r>
    </w:p>
    <w:p w14:paraId="6874E8AB"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Принадлежащие обвиняемому орудия, оборудование или иные средства совершения преступления подлежат конфискации судом (при отсутствии оснований для их передачи в соответствующие учреждения или уничтожения) по делам о преступлениях, перечень которых законом не ограничен. К средствам совершения преступления также могут быть отнесены персональные компьютеры, ноутбуки, планшеты, мобильные телефоны и смартфоны.</w:t>
      </w:r>
    </w:p>
    <w:p w14:paraId="680ECB40"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Кроме этого, подлежит конфискации транспортное средство, которое принадлежит обвиняемому и использовано им при совершении преступления, связанным с нарушением правил дорожного движения, с управлением транспортным средством в состоянии опьянения ранее подвергнутым административному наказанию (имеющим судимость), а также лишенным права управления транспортными средствами.</w:t>
      </w:r>
    </w:p>
    <w:p w14:paraId="1A983C0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Вместе с тем, разъясняется, что принадлежащим обвиняемому следует считать имущество, находящееся в его собственности, а также в общей собственности обвиняемого и других лиц, в том числе в совместной собственности супругов.</w:t>
      </w:r>
    </w:p>
    <w:p w14:paraId="5D42BF77" w14:textId="77777777" w:rsidR="00F74B2D" w:rsidRPr="00F74B2D" w:rsidRDefault="00F74B2D" w:rsidP="00F74B2D">
      <w:pPr>
        <w:ind w:firstLine="709"/>
        <w:jc w:val="center"/>
        <w:rPr>
          <w:sz w:val="28"/>
          <w:szCs w:val="28"/>
        </w:rPr>
      </w:pPr>
    </w:p>
    <w:p w14:paraId="64B80E8C" w14:textId="77777777" w:rsidR="00F74B2D" w:rsidRPr="00F74B2D" w:rsidRDefault="00F74B2D" w:rsidP="00F74B2D">
      <w:pPr>
        <w:ind w:firstLine="709"/>
        <w:jc w:val="center"/>
        <w:rPr>
          <w:sz w:val="28"/>
          <w:szCs w:val="28"/>
        </w:rPr>
      </w:pPr>
    </w:p>
    <w:p w14:paraId="0412F44B"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Дополнительный перечень лиц, освобожденных от уплаты государственной пошлины</w:t>
      </w:r>
    </w:p>
    <w:p w14:paraId="66329625" w14:textId="77777777" w:rsidR="00F74B2D" w:rsidRPr="00F74B2D" w:rsidRDefault="00F74B2D" w:rsidP="00F74B2D">
      <w:pPr>
        <w:ind w:firstLine="709"/>
        <w:jc w:val="center"/>
        <w:rPr>
          <w:sz w:val="28"/>
          <w:szCs w:val="28"/>
        </w:rPr>
      </w:pPr>
    </w:p>
    <w:p w14:paraId="3DB6EC6C"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Федеральным законом от 22.04.2024 № 88-ФЗ внесены изменения в статьи 333.35 и 333.38 части второй Налогового кодекса РФ.</w:t>
      </w:r>
    </w:p>
    <w:p w14:paraId="2D98C30D"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Данными поправками предусмотрено освобождение от уплаты государственной пошлины за выдачу паспорта гражданина Российской Федерации, национального водительского удостоверения взамен утраченного или пришедшего в негодность, ряда лиц, принимающих участие в СВО, обеспечивающих выполнение задач в ходе СВО на территориях Украины, ДНР, ЛНР, Запорожской, Херсонской областей, в том числе:</w:t>
      </w:r>
    </w:p>
    <w:p w14:paraId="587F9F1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военнослужащих, включая мобилизованных и лиц, заключивших контракт о прохождении военной службы;</w:t>
      </w:r>
    </w:p>
    <w:p w14:paraId="330624BF"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 лицам, заключившим контракт о добровольном содействии в выполнении задач, возложенных на Вооруженные Силы РФ, войска </w:t>
      </w:r>
      <w:proofErr w:type="spellStart"/>
      <w:r w:rsidRPr="00F74B2D">
        <w:rPr>
          <w:rFonts w:eastAsia="Liberation Sans"/>
          <w:color w:val="333333"/>
          <w:sz w:val="28"/>
          <w:szCs w:val="28"/>
        </w:rPr>
        <w:t>нацгвардии</w:t>
      </w:r>
      <w:proofErr w:type="spellEnd"/>
      <w:r w:rsidRPr="00F74B2D">
        <w:rPr>
          <w:rFonts w:eastAsia="Liberation Sans"/>
          <w:color w:val="333333"/>
          <w:sz w:val="28"/>
          <w:szCs w:val="28"/>
        </w:rPr>
        <w:t xml:space="preserve"> РФ.</w:t>
      </w:r>
    </w:p>
    <w:p w14:paraId="0DBC7780"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Освобождены от уплаты государственной пошлины при регистрации права собственности в органах Росреестра наследники недвижимого 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погибших (умерших) вследствие увечья, ранения, травмы, контузии, которые получены при обстрелах, взрывах или разрушениях со стороны вооруженных формирований Украины или террористических актов.</w:t>
      </w:r>
    </w:p>
    <w:p w14:paraId="12412140"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14:paraId="67A54D1E"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Также предусмотрено освобождение от уплаты государственной пошлины за выдачу свидетельств о праве на наследство при наследовании имущества лиц, погибших (умерших) вследствие обстрелов, взрывов или разрушений со стороны Украины и террористических актов.</w:t>
      </w:r>
    </w:p>
    <w:p w14:paraId="4B8C72EE"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Актуализированы положения Налогового кодекса РФ, предусматривающие льготы по уплате госпошлины, в связи с изданием Указа Президента Российской Федерации от 04 января 2024 года № 11 «Об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 по вопросам приема в гражданство РФ в упрощенном порядке.</w:t>
      </w:r>
    </w:p>
    <w:p w14:paraId="6621F80A" w14:textId="77777777" w:rsidR="00F74B2D" w:rsidRPr="00F74B2D" w:rsidRDefault="00F74B2D" w:rsidP="00F74B2D">
      <w:pPr>
        <w:ind w:firstLine="709"/>
        <w:jc w:val="center"/>
        <w:rPr>
          <w:sz w:val="28"/>
          <w:szCs w:val="28"/>
        </w:rPr>
      </w:pPr>
    </w:p>
    <w:p w14:paraId="403580D5"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Об ответственности за нарушение правил использования беспилотных летательных аппаратов</w:t>
      </w:r>
    </w:p>
    <w:p w14:paraId="5F9C461E" w14:textId="77777777" w:rsidR="00F74B2D" w:rsidRPr="00F74B2D" w:rsidRDefault="00F74B2D" w:rsidP="00F74B2D">
      <w:pPr>
        <w:ind w:firstLine="709"/>
        <w:jc w:val="center"/>
        <w:rPr>
          <w:sz w:val="28"/>
          <w:szCs w:val="28"/>
        </w:rPr>
      </w:pPr>
    </w:p>
    <w:p w14:paraId="093AC578"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соответствии с приказами Минтранса России от 11.05.2022 № 172 «Об установлении запретных зон» в настоящее время на территории Московской области действует запрет на выдачу разрешений на полеты беспилотных летательных аппаратов (БПЛА).</w:t>
      </w:r>
    </w:p>
    <w:p w14:paraId="2EB63488"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Нарушение введенного запрета влечет за собой административную и уголовную ответственность. Так, статьей 11.4 КоАП РФ предусмотрена </w:t>
      </w:r>
      <w:r w:rsidRPr="00F74B2D">
        <w:rPr>
          <w:rFonts w:eastAsia="Liberation Sans"/>
          <w:color w:val="333333"/>
          <w:sz w:val="28"/>
          <w:szCs w:val="28"/>
        </w:rPr>
        <w:lastRenderedPageBreak/>
        <w:t>административная ответственность за нарушение правил использования воздушного пространства.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(ч. 1 ст. 11.4 КоАП РФ), влечет наложение административного штрафа на граждан в размере от 20 000 до 50 000 рублей, на должностных лиц - от 100 000 до 150 000 рублей, на юридических лиц - от 250 000 до 300 000 рублей или административное приостановление деятельности на срок до 90 суток.</w:t>
      </w:r>
    </w:p>
    <w:p w14:paraId="1F0A182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деяние не содержит уголовно наказуемого деяния (ч. 2 ст. 11.4 КоАП РФ), влечет наложение административного штрафа на граждан в размере от 30 000 до 50 000 рублей, на должностных лиц - от 50 000 до 100 000 рублей, на юридических лиц - от 300 000 до 500 000 рублей или административное приостановление деятельности на срок до 90 суток.</w:t>
      </w:r>
    </w:p>
    <w:p w14:paraId="614C71D8"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Статьей 271.1 УК РФ предусмотрена уголовная ответственность за нарушение правил использования воздушного пространства Российской Федерации.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трех лет.</w:t>
      </w:r>
    </w:p>
    <w:p w14:paraId="4CB84CBA"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Если указанное деяние повлекло по неосторожности смерть двух и более лиц виновное лицо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w:t>
      </w:r>
    </w:p>
    <w:p w14:paraId="55644C91" w14:textId="77777777" w:rsidR="00F74B2D" w:rsidRPr="00F74B2D" w:rsidRDefault="00F74B2D" w:rsidP="00F74B2D">
      <w:pPr>
        <w:ind w:firstLine="709"/>
        <w:jc w:val="center"/>
        <w:rPr>
          <w:sz w:val="28"/>
          <w:szCs w:val="28"/>
        </w:rPr>
      </w:pPr>
    </w:p>
    <w:p w14:paraId="03DA3E15"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Наличие печати у некоммерческих организаций с 1 июня не обязательно</w:t>
      </w:r>
    </w:p>
    <w:p w14:paraId="668C5237" w14:textId="77777777" w:rsidR="00F74B2D" w:rsidRPr="00F74B2D" w:rsidRDefault="00F74B2D" w:rsidP="00F74B2D">
      <w:pPr>
        <w:ind w:firstLine="709"/>
        <w:jc w:val="center"/>
        <w:rPr>
          <w:sz w:val="28"/>
          <w:szCs w:val="28"/>
        </w:rPr>
      </w:pPr>
    </w:p>
    <w:p w14:paraId="303AF6BA"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14:paraId="611802E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14:paraId="71334C40"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Федеральным законом от 02.11.2023 № 525-ФЗ с 01.06.2024 отменено общее требование к наличию печати у некоммерческих организаций. Указано, что </w:t>
      </w:r>
      <w:r w:rsidRPr="00F74B2D">
        <w:rPr>
          <w:rFonts w:eastAsia="Liberation Sans"/>
          <w:color w:val="333333"/>
          <w:sz w:val="28"/>
          <w:szCs w:val="28"/>
        </w:rPr>
        <w:lastRenderedPageBreak/>
        <w:t>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w:t>
      </w:r>
    </w:p>
    <w:p w14:paraId="58011D46"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Федеральным законом может быть предусмотрена обязанность некоммерческой организации использовать печать. Сведения о наличии печати должны содержаться в уставе некоммерческой организации.</w:t>
      </w:r>
    </w:p>
    <w:p w14:paraId="3DCCE12B" w14:textId="77777777" w:rsidR="00F74B2D" w:rsidRPr="00F74B2D" w:rsidRDefault="00F74B2D" w:rsidP="00F74B2D">
      <w:pPr>
        <w:ind w:firstLine="709"/>
        <w:jc w:val="center"/>
        <w:rPr>
          <w:sz w:val="28"/>
          <w:szCs w:val="28"/>
        </w:rPr>
      </w:pPr>
    </w:p>
    <w:p w14:paraId="77E7072F" w14:textId="77777777" w:rsidR="00F74B2D" w:rsidRPr="00F74B2D" w:rsidRDefault="00F74B2D" w:rsidP="00F74B2D">
      <w:pPr>
        <w:ind w:firstLine="709"/>
        <w:jc w:val="center"/>
        <w:rPr>
          <w:sz w:val="28"/>
          <w:szCs w:val="28"/>
        </w:rPr>
      </w:pPr>
    </w:p>
    <w:p w14:paraId="750B8ABC"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Физлица без комиссии смогут переводить средства в рублях между своими счетами в разных банках</w:t>
      </w:r>
    </w:p>
    <w:p w14:paraId="56D64774" w14:textId="77777777" w:rsidR="00F74B2D" w:rsidRPr="00F74B2D" w:rsidRDefault="00F74B2D" w:rsidP="00F74B2D">
      <w:pPr>
        <w:ind w:firstLine="709"/>
        <w:jc w:val="center"/>
        <w:rPr>
          <w:sz w:val="28"/>
          <w:szCs w:val="28"/>
        </w:rPr>
      </w:pPr>
    </w:p>
    <w:p w14:paraId="75802267"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Кредитная организация не вправе взимать комиссионное вознаграждение за осуществление по поручению физического лица операций по переводу денежных средств в рублях в размере в совокупности ежемесячно не более 30 млн. рублей с банковского счета (вклада) физического лица, открытого в этой кредитной организации, на банковский счет (вклад) указанного физического лица, открытый в другой кредитной организации, или специальный счет оператора финансовой платформы, бенефициаром по которому выступает указанное физическое лицо. При этом не допускается ограничение кредитной организацией размера или количества таких операций в пределах установленного совокупного ежемесячного размера операций.</w:t>
      </w:r>
    </w:p>
    <w:p w14:paraId="4FB4AD86"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Эти положения не распространяются на операции по переводу денежных средств, осуществляемые при личном присутствии физического лица либо его представителя в кредитной организации, а также на операции по переводу денежных средств с использованием платежных карт.</w:t>
      </w:r>
    </w:p>
    <w:p w14:paraId="6171BAEE"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Кредитная организация до осуществления операции по переводу денежных средств, осуществляемой при личном присутствии физического лица либо его представителя в кредитной организации, обязана проинформировать физическое лицо либо его представителя об условиях операции по переводу денежных средств.</w:t>
      </w:r>
    </w:p>
    <w:p w14:paraId="631D20B7"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О новшестве банки обязаны проинформировать на своем сайте, в мобильном приложении, в местах оказания услуг. Кроме того, банк должен предупредить клиентов, решивших сделать перевод в отделении банка, о возможности бесплатно перевести средства онлайн.</w:t>
      </w:r>
    </w:p>
    <w:p w14:paraId="6F7CE7AA" w14:textId="77777777" w:rsidR="00F74B2D" w:rsidRPr="00F74B2D" w:rsidRDefault="00F74B2D" w:rsidP="00F74B2D">
      <w:pPr>
        <w:ind w:firstLine="709"/>
        <w:jc w:val="center"/>
        <w:rPr>
          <w:sz w:val="28"/>
          <w:szCs w:val="28"/>
        </w:rPr>
      </w:pPr>
    </w:p>
    <w:p w14:paraId="25D06723"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 xml:space="preserve">О компенсации за задержку </w:t>
      </w:r>
      <w:proofErr w:type="spellStart"/>
      <w:r w:rsidRPr="00F74B2D">
        <w:rPr>
          <w:rFonts w:eastAsia="Liberation Sans"/>
          <w:b/>
          <w:color w:val="333333"/>
          <w:sz w:val="28"/>
          <w:szCs w:val="28"/>
          <w:highlight w:val="white"/>
        </w:rPr>
        <w:t>неначисленных</w:t>
      </w:r>
      <w:proofErr w:type="spellEnd"/>
      <w:r w:rsidRPr="00F74B2D">
        <w:rPr>
          <w:rFonts w:eastAsia="Liberation Sans"/>
          <w:b/>
          <w:color w:val="333333"/>
          <w:sz w:val="28"/>
          <w:szCs w:val="28"/>
          <w:highlight w:val="white"/>
        </w:rPr>
        <w:t xml:space="preserve"> выплат</w:t>
      </w:r>
    </w:p>
    <w:p w14:paraId="47115F4A" w14:textId="77777777" w:rsidR="00F74B2D" w:rsidRPr="00F74B2D" w:rsidRDefault="00F74B2D" w:rsidP="00F74B2D">
      <w:pPr>
        <w:ind w:firstLine="709"/>
        <w:jc w:val="center"/>
        <w:rPr>
          <w:sz w:val="28"/>
          <w:szCs w:val="28"/>
        </w:rPr>
      </w:pPr>
    </w:p>
    <w:p w14:paraId="00816EDB"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В соответствии с Федеральным законом от 30.01.2024 №3-Ф3 с 30 января 2024 года вступили в силу изменения в статью 236 Трудового кодекса РФ о компенсации за задержку </w:t>
      </w:r>
      <w:proofErr w:type="spellStart"/>
      <w:r w:rsidRPr="00F74B2D">
        <w:rPr>
          <w:rFonts w:eastAsia="Liberation Sans"/>
          <w:color w:val="333333"/>
          <w:sz w:val="28"/>
          <w:szCs w:val="28"/>
        </w:rPr>
        <w:t>неначисленных</w:t>
      </w:r>
      <w:proofErr w:type="spellEnd"/>
      <w:r w:rsidRPr="00F74B2D">
        <w:rPr>
          <w:rFonts w:eastAsia="Liberation Sans"/>
          <w:color w:val="333333"/>
          <w:sz w:val="28"/>
          <w:szCs w:val="28"/>
        </w:rPr>
        <w:t xml:space="preserve"> выплат.</w:t>
      </w:r>
    </w:p>
    <w:p w14:paraId="00867A4A"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При нарушении работодателем установленного срока выплат при заработной платы, оплаты отпуска, выплат при увольнении и других выплат, он обязан выплатить работнику денежную компенсацию в размере не ниже 1/150 действующей в это время ключевой ставки Банка России от начисленных, но не выплаченных в срок сумм и (или) </w:t>
      </w:r>
      <w:proofErr w:type="spellStart"/>
      <w:r w:rsidRPr="00F74B2D">
        <w:rPr>
          <w:rFonts w:eastAsia="Liberation Sans"/>
          <w:color w:val="333333"/>
          <w:sz w:val="28"/>
          <w:szCs w:val="28"/>
        </w:rPr>
        <w:t>неначисленных</w:t>
      </w:r>
      <w:proofErr w:type="spellEnd"/>
      <w:r w:rsidRPr="00F74B2D">
        <w:rPr>
          <w:rFonts w:eastAsia="Liberation Sans"/>
          <w:color w:val="333333"/>
          <w:sz w:val="28"/>
          <w:szCs w:val="28"/>
        </w:rPr>
        <w:t xml:space="preserve"> своевременно сумм, если </w:t>
      </w:r>
      <w:r w:rsidRPr="00F74B2D">
        <w:rPr>
          <w:rFonts w:eastAsia="Liberation Sans"/>
          <w:color w:val="333333"/>
          <w:sz w:val="28"/>
          <w:szCs w:val="28"/>
        </w:rPr>
        <w:lastRenderedPageBreak/>
        <w:t xml:space="preserve">вступившим в законную силу решением суда было признано право работника на получение </w:t>
      </w:r>
      <w:proofErr w:type="spellStart"/>
      <w:r w:rsidRPr="00F74B2D">
        <w:rPr>
          <w:rFonts w:eastAsia="Liberation Sans"/>
          <w:color w:val="333333"/>
          <w:sz w:val="28"/>
          <w:szCs w:val="28"/>
        </w:rPr>
        <w:t>неначисленных</w:t>
      </w:r>
      <w:proofErr w:type="spellEnd"/>
      <w:r w:rsidRPr="00F74B2D">
        <w:rPr>
          <w:rFonts w:eastAsia="Liberation Sans"/>
          <w:color w:val="333333"/>
          <w:sz w:val="28"/>
          <w:szCs w:val="28"/>
        </w:rPr>
        <w:t xml:space="preserve"> сумм, за каждый день задержки.</w:t>
      </w:r>
    </w:p>
    <w:p w14:paraId="420E1B3C"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При неполной выплате в установленный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w:t>
      </w:r>
    </w:p>
    <w:p w14:paraId="3237B489"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Выплата денежной компенсации обязательна независимо от наличия вины работодателя. В случае спора о размерах сумм, причитающихся работнику при увольнении, работодатель обязан выплатить не оспариваемую им сумму.</w:t>
      </w:r>
    </w:p>
    <w:p w14:paraId="1E15ADEF" w14:textId="77777777" w:rsidR="00F74B2D" w:rsidRPr="00F74B2D" w:rsidRDefault="00F74B2D" w:rsidP="00F74B2D">
      <w:pPr>
        <w:ind w:firstLine="709"/>
        <w:jc w:val="center"/>
        <w:rPr>
          <w:sz w:val="28"/>
          <w:szCs w:val="28"/>
        </w:rPr>
      </w:pPr>
    </w:p>
    <w:p w14:paraId="40BE6C36"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Правовое регулирование предоставления в аренду лесных участков</w:t>
      </w:r>
    </w:p>
    <w:p w14:paraId="644A2AE8" w14:textId="77777777" w:rsidR="00F74B2D" w:rsidRPr="00F74B2D" w:rsidRDefault="00F74B2D" w:rsidP="00F74B2D">
      <w:pPr>
        <w:ind w:firstLine="709"/>
        <w:jc w:val="center"/>
        <w:rPr>
          <w:sz w:val="28"/>
          <w:szCs w:val="28"/>
        </w:rPr>
      </w:pPr>
    </w:p>
    <w:p w14:paraId="0C5CF794"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Предоставление гражданам, юридическим лицам лесных участков, находящихся в государственной или муниципальной собственности, осуществляется на основании ст. 71 Лесного кодекса РФ в соответствии с видами использования лесов, установленными ст. 25 Лесного кодекса РФ.</w:t>
      </w:r>
    </w:p>
    <w:p w14:paraId="65928E74"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Основные виды использования лесов включают в себя заготовку древесины, живицы, </w:t>
      </w:r>
      <w:proofErr w:type="spellStart"/>
      <w:r w:rsidRPr="00F74B2D">
        <w:rPr>
          <w:rFonts w:eastAsia="Liberation Sans"/>
          <w:color w:val="333333"/>
          <w:sz w:val="28"/>
          <w:szCs w:val="28"/>
        </w:rPr>
        <w:t>недревесных</w:t>
      </w:r>
      <w:proofErr w:type="spellEnd"/>
      <w:r w:rsidRPr="00F74B2D">
        <w:rPr>
          <w:rFonts w:eastAsia="Liberation Sans"/>
          <w:color w:val="333333"/>
          <w:sz w:val="28"/>
          <w:szCs w:val="28"/>
        </w:rPr>
        <w:t xml:space="preserve"> лесных ресурсов, осуществление видов деятельности в сфере охотничьего хозяйства, ведение сельского хозяйства, строительство и эксплуатация водохранилищ и иных искусственных водных объектов и т.д.</w:t>
      </w:r>
    </w:p>
    <w:p w14:paraId="426FDFFE"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В соответствии со ст. 72 Лесного кодекса РФ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 Договор аренды лесного участка заключается на срок от 10 до 49 лет, за исключением отдельных случаев.</w:t>
      </w:r>
    </w:p>
    <w:p w14:paraId="58F0E3AC"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Если испрашиваемый лесной участок предстоит образовать или границы лесного участка подлежат уточнению в соответствии с Федеральным законом от 24.06.2007 № 218-ФЗ «О государственной регистрации недвижимости» осуществляется предварительное согласование предоставления лесного участка в порядке, установленном ст. 39.15 Земельного кодекса Российской Федерации.</w:t>
      </w:r>
    </w:p>
    <w:p w14:paraId="2C5B1381" w14:textId="77777777" w:rsidR="00F74B2D" w:rsidRPr="00F74B2D" w:rsidRDefault="00F74B2D" w:rsidP="00F74B2D">
      <w:pPr>
        <w:ind w:firstLine="709"/>
        <w:jc w:val="center"/>
        <w:rPr>
          <w:sz w:val="28"/>
          <w:szCs w:val="28"/>
        </w:rPr>
      </w:pPr>
    </w:p>
    <w:p w14:paraId="3D08036C" w14:textId="77777777" w:rsidR="00F74B2D" w:rsidRPr="00F74B2D" w:rsidRDefault="00F74B2D" w:rsidP="00F74B2D">
      <w:pPr>
        <w:ind w:firstLine="709"/>
        <w:jc w:val="center"/>
        <w:rPr>
          <w:sz w:val="28"/>
          <w:szCs w:val="28"/>
        </w:rPr>
      </w:pPr>
      <w:r w:rsidRPr="00F74B2D">
        <w:rPr>
          <w:rFonts w:eastAsia="Liberation Sans"/>
          <w:b/>
          <w:color w:val="333333"/>
          <w:sz w:val="28"/>
          <w:szCs w:val="28"/>
          <w:highlight w:val="white"/>
        </w:rPr>
        <w:t>Правовое регулирования использования беспилотных летательных аппаратов</w:t>
      </w:r>
    </w:p>
    <w:p w14:paraId="77780B9D" w14:textId="77777777" w:rsidR="00F74B2D" w:rsidRPr="00F74B2D" w:rsidRDefault="00F74B2D" w:rsidP="00F74B2D">
      <w:pPr>
        <w:ind w:firstLine="709"/>
        <w:jc w:val="center"/>
        <w:rPr>
          <w:sz w:val="28"/>
          <w:szCs w:val="28"/>
        </w:rPr>
      </w:pPr>
    </w:p>
    <w:p w14:paraId="53628DE1"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Беспилотным летательным аппаратам (БПЛА) является автоматизированный интерактивный летательный аппарат, способный выполнять полет по заданному маршруту и поддерживать свою ориентацию в пространстве без вмешательства человека, но в то же время готовый реагировать на управляющие воздействия человека-оператора.</w:t>
      </w:r>
    </w:p>
    <w:p w14:paraId="06E9D6B8"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Для использования БПЛА необходима его постановка на государственный учет, получение разрешения на использование воздушного пространства, соблюдение правил выполнения авиационных работ.</w:t>
      </w:r>
    </w:p>
    <w:p w14:paraId="53DF0C7C"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 xml:space="preserve">В соответствии с приказами Минтранса России от 11.05.2022 № 172 «Об установлении запретных зон» в настоящее время на территории Московской области действует запрет на выдачу разрешений на полеты БПЛА, за </w:t>
      </w:r>
      <w:r w:rsidRPr="00F74B2D">
        <w:rPr>
          <w:rFonts w:eastAsia="Liberation Sans"/>
          <w:color w:val="333333"/>
          <w:sz w:val="28"/>
          <w:szCs w:val="28"/>
        </w:rPr>
        <w:lastRenderedPageBreak/>
        <w:t>исключением проведения оперативными службами и органами государственной власти авиационных работ. Приказ действует до 1 ноября 2026 года.</w:t>
      </w:r>
    </w:p>
    <w:p w14:paraId="2EEEE15E" w14:textId="77777777" w:rsidR="00F74B2D" w:rsidRPr="00F74B2D" w:rsidRDefault="00F74B2D" w:rsidP="00F74B2D">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F74B2D">
        <w:rPr>
          <w:rFonts w:eastAsia="Liberation Sans"/>
          <w:color w:val="333333"/>
          <w:sz w:val="28"/>
          <w:szCs w:val="28"/>
        </w:rPr>
        <w:t>Нарушение введенного запрета влечет за собой административную (ст. 11.4 КоАП РФ) и уголовную (ст. 271.1 УК РФ) ответственность.</w:t>
      </w:r>
    </w:p>
    <w:p w14:paraId="1D489157" w14:textId="77777777" w:rsidR="00F74B2D" w:rsidRPr="00F74B2D" w:rsidRDefault="00F74B2D" w:rsidP="00F74B2D">
      <w:pPr>
        <w:ind w:firstLine="709"/>
        <w:jc w:val="center"/>
        <w:rPr>
          <w:sz w:val="28"/>
          <w:szCs w:val="28"/>
        </w:rPr>
      </w:pPr>
    </w:p>
    <w:p w14:paraId="03FC874F" w14:textId="77777777" w:rsidR="00F74B2D" w:rsidRPr="00F74B2D" w:rsidRDefault="00F74B2D" w:rsidP="00F74B2D">
      <w:pPr>
        <w:ind w:firstLine="709"/>
        <w:jc w:val="center"/>
        <w:rPr>
          <w:sz w:val="28"/>
          <w:szCs w:val="28"/>
        </w:rPr>
      </w:pPr>
    </w:p>
    <w:p w14:paraId="09DF86DE" w14:textId="77777777" w:rsidR="00F74B2D" w:rsidRPr="00F74B2D" w:rsidRDefault="00F74B2D" w:rsidP="00F74B2D">
      <w:pPr>
        <w:ind w:firstLine="709"/>
        <w:jc w:val="center"/>
        <w:rPr>
          <w:sz w:val="28"/>
          <w:szCs w:val="28"/>
        </w:rPr>
      </w:pPr>
    </w:p>
    <w:p w14:paraId="5F45A9B8" w14:textId="77777777" w:rsidR="00F74B2D" w:rsidRPr="00F74B2D" w:rsidRDefault="00F74B2D" w:rsidP="00F74B2D">
      <w:pPr>
        <w:ind w:firstLine="709"/>
        <w:jc w:val="center"/>
        <w:rPr>
          <w:sz w:val="28"/>
          <w:szCs w:val="28"/>
        </w:rPr>
      </w:pPr>
    </w:p>
    <w:p w14:paraId="0E8CE518" w14:textId="77777777" w:rsidR="00F74B2D" w:rsidRPr="00F74B2D" w:rsidRDefault="00F74B2D" w:rsidP="00F74B2D">
      <w:pPr>
        <w:ind w:firstLine="709"/>
        <w:jc w:val="center"/>
        <w:rPr>
          <w:sz w:val="28"/>
          <w:szCs w:val="28"/>
        </w:rPr>
      </w:pPr>
    </w:p>
    <w:p w14:paraId="4E3D76C0" w14:textId="77777777" w:rsidR="00F74B2D" w:rsidRPr="00F74B2D" w:rsidRDefault="00F74B2D" w:rsidP="00F74B2D">
      <w:pPr>
        <w:ind w:firstLine="709"/>
        <w:jc w:val="center"/>
        <w:rPr>
          <w:sz w:val="28"/>
          <w:szCs w:val="28"/>
        </w:rPr>
      </w:pPr>
    </w:p>
    <w:p w14:paraId="0488F23E" w14:textId="77777777" w:rsidR="000A271E" w:rsidRPr="00F74B2D" w:rsidRDefault="00D84A93" w:rsidP="00F74B2D">
      <w:pPr>
        <w:ind w:firstLine="709"/>
        <w:rPr>
          <w:sz w:val="28"/>
          <w:szCs w:val="28"/>
        </w:rPr>
      </w:pPr>
    </w:p>
    <w:sectPr w:rsidR="000A271E" w:rsidRPr="00F74B2D" w:rsidSect="0013334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66D"/>
    <w:multiLevelType w:val="hybridMultilevel"/>
    <w:tmpl w:val="82044E50"/>
    <w:lvl w:ilvl="0" w:tplc="BBC049FC">
      <w:start w:val="1"/>
      <w:numFmt w:val="bullet"/>
      <w:lvlText w:val="·"/>
      <w:lvlJc w:val="left"/>
      <w:pPr>
        <w:ind w:left="709" w:hanging="360"/>
      </w:pPr>
      <w:rPr>
        <w:rFonts w:ascii="Symbol" w:eastAsia="Symbol" w:hAnsi="Symbol" w:cs="Symbol" w:hint="default"/>
        <w:color w:val="333333"/>
        <w:sz w:val="26"/>
      </w:rPr>
    </w:lvl>
    <w:lvl w:ilvl="1" w:tplc="A7284008">
      <w:start w:val="1"/>
      <w:numFmt w:val="bullet"/>
      <w:lvlText w:val="·"/>
      <w:lvlJc w:val="left"/>
      <w:pPr>
        <w:ind w:left="1429" w:hanging="360"/>
      </w:pPr>
      <w:rPr>
        <w:rFonts w:ascii="Symbol" w:eastAsia="Symbol" w:hAnsi="Symbol" w:cs="Symbol" w:hint="default"/>
        <w:color w:val="333333"/>
        <w:sz w:val="26"/>
      </w:rPr>
    </w:lvl>
    <w:lvl w:ilvl="2" w:tplc="E51E2F38">
      <w:start w:val="1"/>
      <w:numFmt w:val="bullet"/>
      <w:lvlText w:val="·"/>
      <w:lvlJc w:val="left"/>
      <w:pPr>
        <w:ind w:left="2149" w:hanging="360"/>
      </w:pPr>
      <w:rPr>
        <w:rFonts w:ascii="Symbol" w:eastAsia="Symbol" w:hAnsi="Symbol" w:cs="Symbol" w:hint="default"/>
        <w:color w:val="333333"/>
        <w:sz w:val="26"/>
      </w:rPr>
    </w:lvl>
    <w:lvl w:ilvl="3" w:tplc="D6504A96">
      <w:start w:val="1"/>
      <w:numFmt w:val="bullet"/>
      <w:lvlText w:val="·"/>
      <w:lvlJc w:val="left"/>
      <w:pPr>
        <w:ind w:left="2869" w:hanging="360"/>
      </w:pPr>
      <w:rPr>
        <w:rFonts w:ascii="Symbol" w:eastAsia="Symbol" w:hAnsi="Symbol" w:cs="Symbol" w:hint="default"/>
        <w:color w:val="333333"/>
        <w:sz w:val="26"/>
      </w:rPr>
    </w:lvl>
    <w:lvl w:ilvl="4" w:tplc="D92602A2">
      <w:start w:val="1"/>
      <w:numFmt w:val="bullet"/>
      <w:lvlText w:val="·"/>
      <w:lvlJc w:val="left"/>
      <w:pPr>
        <w:ind w:left="3589" w:hanging="360"/>
      </w:pPr>
      <w:rPr>
        <w:rFonts w:ascii="Symbol" w:eastAsia="Symbol" w:hAnsi="Symbol" w:cs="Symbol" w:hint="default"/>
        <w:color w:val="333333"/>
        <w:sz w:val="26"/>
      </w:rPr>
    </w:lvl>
    <w:lvl w:ilvl="5" w:tplc="3D22CB28">
      <w:start w:val="1"/>
      <w:numFmt w:val="bullet"/>
      <w:lvlText w:val="·"/>
      <w:lvlJc w:val="left"/>
      <w:pPr>
        <w:ind w:left="4309" w:hanging="360"/>
      </w:pPr>
      <w:rPr>
        <w:rFonts w:ascii="Symbol" w:eastAsia="Symbol" w:hAnsi="Symbol" w:cs="Symbol" w:hint="default"/>
        <w:color w:val="333333"/>
        <w:sz w:val="26"/>
      </w:rPr>
    </w:lvl>
    <w:lvl w:ilvl="6" w:tplc="64380FEA">
      <w:start w:val="1"/>
      <w:numFmt w:val="bullet"/>
      <w:lvlText w:val="·"/>
      <w:lvlJc w:val="left"/>
      <w:pPr>
        <w:ind w:left="5029" w:hanging="360"/>
      </w:pPr>
      <w:rPr>
        <w:rFonts w:ascii="Symbol" w:eastAsia="Symbol" w:hAnsi="Symbol" w:cs="Symbol" w:hint="default"/>
        <w:color w:val="333333"/>
        <w:sz w:val="26"/>
      </w:rPr>
    </w:lvl>
    <w:lvl w:ilvl="7" w:tplc="E872F5D2">
      <w:start w:val="1"/>
      <w:numFmt w:val="bullet"/>
      <w:lvlText w:val="·"/>
      <w:lvlJc w:val="left"/>
      <w:pPr>
        <w:ind w:left="5749" w:hanging="360"/>
      </w:pPr>
      <w:rPr>
        <w:rFonts w:ascii="Symbol" w:eastAsia="Symbol" w:hAnsi="Symbol" w:cs="Symbol" w:hint="default"/>
        <w:color w:val="333333"/>
        <w:sz w:val="26"/>
      </w:rPr>
    </w:lvl>
    <w:lvl w:ilvl="8" w:tplc="243EB420">
      <w:start w:val="1"/>
      <w:numFmt w:val="bullet"/>
      <w:lvlText w:val="·"/>
      <w:lvlJc w:val="left"/>
      <w:pPr>
        <w:ind w:left="6469" w:hanging="360"/>
      </w:pPr>
      <w:rPr>
        <w:rFonts w:ascii="Symbol" w:eastAsia="Symbol" w:hAnsi="Symbol" w:cs="Symbol" w:hint="default"/>
        <w:color w:val="333333"/>
        <w:sz w:val="26"/>
      </w:rPr>
    </w:lvl>
  </w:abstractNum>
  <w:abstractNum w:abstractNumId="1">
    <w:nsid w:val="5A6A5D8E"/>
    <w:multiLevelType w:val="hybridMultilevel"/>
    <w:tmpl w:val="9DBA6640"/>
    <w:lvl w:ilvl="0" w:tplc="2FE2454A">
      <w:start w:val="1"/>
      <w:numFmt w:val="bullet"/>
      <w:lvlText w:val="·"/>
      <w:lvlJc w:val="left"/>
      <w:pPr>
        <w:ind w:left="709" w:hanging="360"/>
      </w:pPr>
      <w:rPr>
        <w:rFonts w:ascii="Symbol" w:eastAsia="Symbol" w:hAnsi="Symbol" w:cs="Symbol" w:hint="default"/>
        <w:color w:val="333333"/>
        <w:sz w:val="26"/>
      </w:rPr>
    </w:lvl>
    <w:lvl w:ilvl="1" w:tplc="878A31FA">
      <w:start w:val="1"/>
      <w:numFmt w:val="bullet"/>
      <w:lvlText w:val="·"/>
      <w:lvlJc w:val="left"/>
      <w:pPr>
        <w:ind w:left="1429" w:hanging="360"/>
      </w:pPr>
      <w:rPr>
        <w:rFonts w:ascii="Symbol" w:eastAsia="Symbol" w:hAnsi="Symbol" w:cs="Symbol" w:hint="default"/>
        <w:color w:val="333333"/>
        <w:sz w:val="26"/>
      </w:rPr>
    </w:lvl>
    <w:lvl w:ilvl="2" w:tplc="D378327C">
      <w:start w:val="1"/>
      <w:numFmt w:val="bullet"/>
      <w:lvlText w:val="·"/>
      <w:lvlJc w:val="left"/>
      <w:pPr>
        <w:ind w:left="2149" w:hanging="360"/>
      </w:pPr>
      <w:rPr>
        <w:rFonts w:ascii="Symbol" w:eastAsia="Symbol" w:hAnsi="Symbol" w:cs="Symbol" w:hint="default"/>
        <w:color w:val="333333"/>
        <w:sz w:val="26"/>
      </w:rPr>
    </w:lvl>
    <w:lvl w:ilvl="3" w:tplc="23EC59E8">
      <w:start w:val="1"/>
      <w:numFmt w:val="bullet"/>
      <w:lvlText w:val="·"/>
      <w:lvlJc w:val="left"/>
      <w:pPr>
        <w:ind w:left="2869" w:hanging="360"/>
      </w:pPr>
      <w:rPr>
        <w:rFonts w:ascii="Symbol" w:eastAsia="Symbol" w:hAnsi="Symbol" w:cs="Symbol" w:hint="default"/>
        <w:color w:val="333333"/>
        <w:sz w:val="26"/>
      </w:rPr>
    </w:lvl>
    <w:lvl w:ilvl="4" w:tplc="91BA09AA">
      <w:start w:val="1"/>
      <w:numFmt w:val="bullet"/>
      <w:lvlText w:val="·"/>
      <w:lvlJc w:val="left"/>
      <w:pPr>
        <w:ind w:left="3589" w:hanging="360"/>
      </w:pPr>
      <w:rPr>
        <w:rFonts w:ascii="Symbol" w:eastAsia="Symbol" w:hAnsi="Symbol" w:cs="Symbol" w:hint="default"/>
        <w:color w:val="333333"/>
        <w:sz w:val="26"/>
      </w:rPr>
    </w:lvl>
    <w:lvl w:ilvl="5" w:tplc="2D86B48E">
      <w:start w:val="1"/>
      <w:numFmt w:val="bullet"/>
      <w:lvlText w:val="·"/>
      <w:lvlJc w:val="left"/>
      <w:pPr>
        <w:ind w:left="4309" w:hanging="360"/>
      </w:pPr>
      <w:rPr>
        <w:rFonts w:ascii="Symbol" w:eastAsia="Symbol" w:hAnsi="Symbol" w:cs="Symbol" w:hint="default"/>
        <w:color w:val="333333"/>
        <w:sz w:val="26"/>
      </w:rPr>
    </w:lvl>
    <w:lvl w:ilvl="6" w:tplc="3F029024">
      <w:start w:val="1"/>
      <w:numFmt w:val="bullet"/>
      <w:lvlText w:val="·"/>
      <w:lvlJc w:val="left"/>
      <w:pPr>
        <w:ind w:left="5029" w:hanging="360"/>
      </w:pPr>
      <w:rPr>
        <w:rFonts w:ascii="Symbol" w:eastAsia="Symbol" w:hAnsi="Symbol" w:cs="Symbol" w:hint="default"/>
        <w:color w:val="333333"/>
        <w:sz w:val="26"/>
      </w:rPr>
    </w:lvl>
    <w:lvl w:ilvl="7" w:tplc="39943460">
      <w:start w:val="1"/>
      <w:numFmt w:val="bullet"/>
      <w:lvlText w:val="·"/>
      <w:lvlJc w:val="left"/>
      <w:pPr>
        <w:ind w:left="5749" w:hanging="360"/>
      </w:pPr>
      <w:rPr>
        <w:rFonts w:ascii="Symbol" w:eastAsia="Symbol" w:hAnsi="Symbol" w:cs="Symbol" w:hint="default"/>
        <w:color w:val="333333"/>
        <w:sz w:val="26"/>
      </w:rPr>
    </w:lvl>
    <w:lvl w:ilvl="8" w:tplc="B6F8E420">
      <w:start w:val="1"/>
      <w:numFmt w:val="bullet"/>
      <w:lvlText w:val="·"/>
      <w:lvlJc w:val="left"/>
      <w:pPr>
        <w:ind w:left="6469" w:hanging="360"/>
      </w:pPr>
      <w:rPr>
        <w:rFonts w:ascii="Symbol" w:eastAsia="Symbol" w:hAnsi="Symbol" w:cs="Symbol" w:hint="default"/>
        <w:color w:val="333333"/>
        <w:sz w:val="26"/>
      </w:rPr>
    </w:lvl>
  </w:abstractNum>
  <w:abstractNum w:abstractNumId="2">
    <w:nsid w:val="73C81370"/>
    <w:multiLevelType w:val="hybridMultilevel"/>
    <w:tmpl w:val="B1CEB600"/>
    <w:lvl w:ilvl="0" w:tplc="C826E97A">
      <w:start w:val="1"/>
      <w:numFmt w:val="bullet"/>
      <w:lvlText w:val="·"/>
      <w:lvlJc w:val="left"/>
      <w:pPr>
        <w:ind w:left="709" w:hanging="360"/>
      </w:pPr>
      <w:rPr>
        <w:rFonts w:ascii="Symbol" w:eastAsia="Symbol" w:hAnsi="Symbol" w:cs="Symbol" w:hint="default"/>
        <w:color w:val="333333"/>
        <w:sz w:val="26"/>
      </w:rPr>
    </w:lvl>
    <w:lvl w:ilvl="1" w:tplc="A308DFBE">
      <w:start w:val="1"/>
      <w:numFmt w:val="bullet"/>
      <w:lvlText w:val="·"/>
      <w:lvlJc w:val="left"/>
      <w:pPr>
        <w:ind w:left="1429" w:hanging="360"/>
      </w:pPr>
      <w:rPr>
        <w:rFonts w:ascii="Symbol" w:eastAsia="Symbol" w:hAnsi="Symbol" w:cs="Symbol" w:hint="default"/>
        <w:color w:val="333333"/>
        <w:sz w:val="26"/>
      </w:rPr>
    </w:lvl>
    <w:lvl w:ilvl="2" w:tplc="26E0C0F2">
      <w:start w:val="1"/>
      <w:numFmt w:val="bullet"/>
      <w:lvlText w:val="·"/>
      <w:lvlJc w:val="left"/>
      <w:pPr>
        <w:ind w:left="2149" w:hanging="360"/>
      </w:pPr>
      <w:rPr>
        <w:rFonts w:ascii="Symbol" w:eastAsia="Symbol" w:hAnsi="Symbol" w:cs="Symbol" w:hint="default"/>
        <w:color w:val="333333"/>
        <w:sz w:val="26"/>
      </w:rPr>
    </w:lvl>
    <w:lvl w:ilvl="3" w:tplc="98D4830E">
      <w:start w:val="1"/>
      <w:numFmt w:val="bullet"/>
      <w:lvlText w:val="·"/>
      <w:lvlJc w:val="left"/>
      <w:pPr>
        <w:ind w:left="2869" w:hanging="360"/>
      </w:pPr>
      <w:rPr>
        <w:rFonts w:ascii="Symbol" w:eastAsia="Symbol" w:hAnsi="Symbol" w:cs="Symbol" w:hint="default"/>
        <w:color w:val="333333"/>
        <w:sz w:val="26"/>
      </w:rPr>
    </w:lvl>
    <w:lvl w:ilvl="4" w:tplc="20861DE8">
      <w:start w:val="1"/>
      <w:numFmt w:val="bullet"/>
      <w:lvlText w:val="·"/>
      <w:lvlJc w:val="left"/>
      <w:pPr>
        <w:ind w:left="3589" w:hanging="360"/>
      </w:pPr>
      <w:rPr>
        <w:rFonts w:ascii="Symbol" w:eastAsia="Symbol" w:hAnsi="Symbol" w:cs="Symbol" w:hint="default"/>
        <w:color w:val="333333"/>
        <w:sz w:val="26"/>
      </w:rPr>
    </w:lvl>
    <w:lvl w:ilvl="5" w:tplc="C31C7A06">
      <w:start w:val="1"/>
      <w:numFmt w:val="bullet"/>
      <w:lvlText w:val="·"/>
      <w:lvlJc w:val="left"/>
      <w:pPr>
        <w:ind w:left="4309" w:hanging="360"/>
      </w:pPr>
      <w:rPr>
        <w:rFonts w:ascii="Symbol" w:eastAsia="Symbol" w:hAnsi="Symbol" w:cs="Symbol" w:hint="default"/>
        <w:color w:val="333333"/>
        <w:sz w:val="26"/>
      </w:rPr>
    </w:lvl>
    <w:lvl w:ilvl="6" w:tplc="DF3A771E">
      <w:start w:val="1"/>
      <w:numFmt w:val="bullet"/>
      <w:lvlText w:val="·"/>
      <w:lvlJc w:val="left"/>
      <w:pPr>
        <w:ind w:left="5029" w:hanging="360"/>
      </w:pPr>
      <w:rPr>
        <w:rFonts w:ascii="Symbol" w:eastAsia="Symbol" w:hAnsi="Symbol" w:cs="Symbol" w:hint="default"/>
        <w:color w:val="333333"/>
        <w:sz w:val="26"/>
      </w:rPr>
    </w:lvl>
    <w:lvl w:ilvl="7" w:tplc="1E40F7B6">
      <w:start w:val="1"/>
      <w:numFmt w:val="bullet"/>
      <w:lvlText w:val="·"/>
      <w:lvlJc w:val="left"/>
      <w:pPr>
        <w:ind w:left="5749" w:hanging="360"/>
      </w:pPr>
      <w:rPr>
        <w:rFonts w:ascii="Symbol" w:eastAsia="Symbol" w:hAnsi="Symbol" w:cs="Symbol" w:hint="default"/>
        <w:color w:val="333333"/>
        <w:sz w:val="26"/>
      </w:rPr>
    </w:lvl>
    <w:lvl w:ilvl="8" w:tplc="B84E27EA">
      <w:start w:val="1"/>
      <w:numFmt w:val="bullet"/>
      <w:lvlText w:val="·"/>
      <w:lvlJc w:val="left"/>
      <w:pPr>
        <w:ind w:left="6469" w:hanging="360"/>
      </w:pPr>
      <w:rPr>
        <w:rFonts w:ascii="Symbol" w:eastAsia="Symbol" w:hAnsi="Symbol" w:cs="Symbol" w:hint="default"/>
        <w:color w:val="333333"/>
        <w:sz w:val="2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2D"/>
    <w:rsid w:val="0013334D"/>
    <w:rsid w:val="005F2552"/>
    <w:rsid w:val="00A524E3"/>
    <w:rsid w:val="00C16B2D"/>
    <w:rsid w:val="00D84A93"/>
    <w:rsid w:val="00F7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2D"/>
    <w:pPr>
      <w:ind w:left="720"/>
      <w:contextualSpacing/>
    </w:pPr>
  </w:style>
  <w:style w:type="paragraph" w:styleId="a4">
    <w:name w:val="Balloon Text"/>
    <w:basedOn w:val="a"/>
    <w:link w:val="a5"/>
    <w:uiPriority w:val="99"/>
    <w:semiHidden/>
    <w:unhideWhenUsed/>
    <w:rsid w:val="0013334D"/>
    <w:rPr>
      <w:rFonts w:ascii="Segoe UI" w:hAnsi="Segoe UI" w:cs="Segoe UI"/>
      <w:sz w:val="18"/>
      <w:szCs w:val="18"/>
    </w:rPr>
  </w:style>
  <w:style w:type="character" w:customStyle="1" w:styleId="a5">
    <w:name w:val="Текст выноски Знак"/>
    <w:basedOn w:val="a0"/>
    <w:link w:val="a4"/>
    <w:uiPriority w:val="99"/>
    <w:semiHidden/>
    <w:rsid w:val="0013334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2D"/>
    <w:pPr>
      <w:ind w:left="720"/>
      <w:contextualSpacing/>
    </w:pPr>
  </w:style>
  <w:style w:type="paragraph" w:styleId="a4">
    <w:name w:val="Balloon Text"/>
    <w:basedOn w:val="a"/>
    <w:link w:val="a5"/>
    <w:uiPriority w:val="99"/>
    <w:semiHidden/>
    <w:unhideWhenUsed/>
    <w:rsid w:val="0013334D"/>
    <w:rPr>
      <w:rFonts w:ascii="Segoe UI" w:hAnsi="Segoe UI" w:cs="Segoe UI"/>
      <w:sz w:val="18"/>
      <w:szCs w:val="18"/>
    </w:rPr>
  </w:style>
  <w:style w:type="character" w:customStyle="1" w:styleId="a5">
    <w:name w:val="Текст выноски Знак"/>
    <w:basedOn w:val="a0"/>
    <w:link w:val="a4"/>
    <w:uiPriority w:val="99"/>
    <w:semiHidden/>
    <w:rsid w:val="001333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4049</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Конденков Илья Сергеевич</dc:creator>
  <cp:lastModifiedBy>User</cp:lastModifiedBy>
  <cp:revision>2</cp:revision>
  <cp:lastPrinted>2024-05-30T09:36:00Z</cp:lastPrinted>
  <dcterms:created xsi:type="dcterms:W3CDTF">2024-05-31T10:00:00Z</dcterms:created>
  <dcterms:modified xsi:type="dcterms:W3CDTF">2024-05-31T10:00:00Z</dcterms:modified>
</cp:coreProperties>
</file>