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62" w:rsidRDefault="00491E91">
      <w:pPr>
        <w:pStyle w:val="1"/>
        <w:ind w:right="-2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E21772" wp14:editId="73AA68D2">
            <wp:extent cx="447675" cy="5619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59" w:type="dxa"/>
        <w:tblLayout w:type="fixed"/>
        <w:tblLook w:val="01E0" w:firstRow="1" w:lastRow="1" w:firstColumn="1" w:lastColumn="1" w:noHBand="0" w:noVBand="0"/>
      </w:tblPr>
      <w:tblGrid>
        <w:gridCol w:w="9459"/>
      </w:tblGrid>
      <w:tr w:rsidR="00091A62">
        <w:trPr>
          <w:trHeight w:val="969"/>
        </w:trPr>
        <w:tc>
          <w:tcPr>
            <w:tcW w:w="9459" w:type="dxa"/>
            <w:tcBorders>
              <w:bottom w:val="thinThickSmallGap" w:sz="24" w:space="0" w:color="000000"/>
            </w:tcBorders>
          </w:tcPr>
          <w:p w:rsidR="00091A62" w:rsidRDefault="00491E91">
            <w:pPr>
              <w:pStyle w:val="5"/>
              <w:widowControl w:val="0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Сорочинского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городского округа Оренбургской области</w:t>
            </w:r>
          </w:p>
          <w:p w:rsidR="00091A62" w:rsidRDefault="00091A62">
            <w:pPr>
              <w:pStyle w:val="8"/>
              <w:widowControl w:val="0"/>
              <w:ind w:right="-2"/>
              <w:rPr>
                <w:sz w:val="26"/>
                <w:szCs w:val="26"/>
                <w:lang w:eastAsia="en-US"/>
              </w:rPr>
            </w:pPr>
          </w:p>
          <w:p w:rsidR="00091A62" w:rsidRDefault="00491E91">
            <w:pPr>
              <w:pStyle w:val="8"/>
              <w:widowControl w:val="0"/>
              <w:ind w:right="-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 С Т А Н О В Л Е Н И Е</w:t>
            </w:r>
          </w:p>
        </w:tc>
      </w:tr>
    </w:tbl>
    <w:p w:rsidR="00091A62" w:rsidRDefault="008A586B">
      <w:pPr>
        <w:pStyle w:val="20"/>
        <w:ind w:right="-2"/>
        <w:rPr>
          <w:sz w:val="26"/>
          <w:szCs w:val="26"/>
          <w:lang w:val="ru-RU"/>
        </w:rPr>
      </w:pPr>
      <w:r>
        <w:rPr>
          <w:noProof/>
          <w:lang w:val="ru-RU"/>
        </w:rPr>
        <w:drawing>
          <wp:anchor distT="0" distB="0" distL="0" distR="0" simplePos="0" relativeHeight="251659264" behindDoc="0" locked="0" layoutInCell="0" allowOverlap="1" wp14:anchorId="6B843C85" wp14:editId="4B129A73">
            <wp:simplePos x="0" y="0"/>
            <wp:positionH relativeFrom="page">
              <wp:posOffset>666750</wp:posOffset>
            </wp:positionH>
            <wp:positionV relativeFrom="page">
              <wp:posOffset>1557655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A62" w:rsidRDefault="00491E91">
      <w:pPr>
        <w:pStyle w:val="20"/>
        <w:ind w:right="-2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</w:t>
      </w:r>
    </w:p>
    <w:p w:rsidR="00091A62" w:rsidRDefault="00491E91">
      <w:pPr>
        <w:pStyle w:val="20"/>
        <w:tabs>
          <w:tab w:val="left" w:pos="576"/>
        </w:tabs>
        <w:jc w:val="both"/>
        <w:rPr>
          <w:b/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</w:t>
      </w:r>
    </w:p>
    <w:p w:rsidR="00091A62" w:rsidRDefault="00491E91">
      <w:pPr>
        <w:pStyle w:val="20"/>
        <w:tabs>
          <w:tab w:val="left" w:pos="57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предоставлении разрешения</w:t>
      </w:r>
    </w:p>
    <w:p w:rsidR="00091A62" w:rsidRDefault="00491E91">
      <w:pPr>
        <w:pStyle w:val="20"/>
        <w:tabs>
          <w:tab w:val="left" w:pos="57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условно разрешенный вид </w:t>
      </w:r>
    </w:p>
    <w:p w:rsidR="00091A62" w:rsidRDefault="00491E91">
      <w:pPr>
        <w:pStyle w:val="20"/>
        <w:tabs>
          <w:tab w:val="left" w:pos="57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использования земельного участка</w:t>
      </w:r>
    </w:p>
    <w:p w:rsidR="00091A62" w:rsidRDefault="00491E91">
      <w:pPr>
        <w:pStyle w:val="20"/>
        <w:tabs>
          <w:tab w:val="left" w:pos="57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кадастровым номером 56:45:0102029:1018</w:t>
      </w:r>
    </w:p>
    <w:p w:rsidR="00091A62" w:rsidRDefault="00091A62">
      <w:pPr>
        <w:pStyle w:val="20"/>
        <w:tabs>
          <w:tab w:val="left" w:pos="576"/>
        </w:tabs>
        <w:jc w:val="both"/>
        <w:rPr>
          <w:lang w:val="ru-RU"/>
        </w:rPr>
      </w:pPr>
    </w:p>
    <w:p w:rsidR="00091A62" w:rsidRDefault="00491E91">
      <w:pPr>
        <w:ind w:firstLine="709"/>
        <w:jc w:val="both"/>
      </w:pPr>
      <w:r>
        <w:t xml:space="preserve">В соответствии со статьей 39 Градостроительного кодекса Российской Федерации, приказом </w:t>
      </w:r>
      <w:proofErr w:type="spellStart"/>
      <w:r>
        <w:t>Росреестра</w:t>
      </w:r>
      <w:proofErr w:type="spellEnd"/>
      <w:r>
        <w:t xml:space="preserve"> от 10.11.2020 № </w:t>
      </w:r>
      <w:proofErr w:type="gramStart"/>
      <w:r>
        <w:t>П</w:t>
      </w:r>
      <w:proofErr w:type="gramEnd"/>
      <w:r>
        <w:t xml:space="preserve">/0412 «Об утверждении классификатора видов разрешенного использования земельных участков», руководствуясь статьями 32, 35, 40 Устава муниципального образования </w:t>
      </w:r>
      <w:proofErr w:type="spellStart"/>
      <w:r>
        <w:t>Сорочинский</w:t>
      </w:r>
      <w:proofErr w:type="spellEnd"/>
      <w:r>
        <w:t xml:space="preserve"> городской округ  Оренбургской области, постановлением администрации </w:t>
      </w:r>
      <w:proofErr w:type="spellStart"/>
      <w:r>
        <w:t>Сорочинского</w:t>
      </w:r>
      <w:proofErr w:type="spellEnd"/>
      <w:r>
        <w:t xml:space="preserve"> городского округа Оренбургской области от 28.11.2022 № 1667-п «Об утверждении Правил землепользования и застройки муниципального образования </w:t>
      </w:r>
      <w:proofErr w:type="spellStart"/>
      <w:r>
        <w:t>Сорочинский</w:t>
      </w:r>
      <w:proofErr w:type="spellEnd"/>
      <w:r>
        <w:t xml:space="preserve"> городской округ Оренбургской области» (с изменениями от 19.10.2023 №1418-п), на основании постановления администрации </w:t>
      </w:r>
      <w:proofErr w:type="spellStart"/>
      <w:r>
        <w:t>Сорочинского</w:t>
      </w:r>
      <w:proofErr w:type="spellEnd"/>
      <w:r>
        <w:t xml:space="preserve"> городского округа Оренбургской области от 11.01.2024  № 8-п «О проведении публичных слушаний по проекту постановления администрации </w:t>
      </w:r>
      <w:proofErr w:type="spellStart"/>
      <w:r>
        <w:t>Сорочинского</w:t>
      </w:r>
      <w:proofErr w:type="spellEnd"/>
      <w:r>
        <w:t xml:space="preserve"> городского округа Оренбургской области «О предоставлении разрешения на условно разрешенный вид использования земельного </w:t>
      </w:r>
      <w:proofErr w:type="gramStart"/>
      <w:r>
        <w:t>участка с кадастровым номером 56:45:0102029:1018», протокола публичных слушаний  от 09.02.2024 № 1, заключения о результатах публичных слушаний по вопросу предоставления разрешения на условно разрешенный вид использования земельного участка с кадастровым номером 56:45:0102029:1018 от 09.02.2024, рекомендаций о предоставлении разрешения на условно разрешенный вид использования земельного участка с кадастровым номером 56:45:0102029:1018 от 09.02.2024,  публикаций</w:t>
      </w:r>
      <w:proofErr w:type="gramEnd"/>
      <w:r>
        <w:t xml:space="preserve"> в газете  «</w:t>
      </w:r>
      <w:proofErr w:type="spellStart"/>
      <w:r>
        <w:t>Сорочинский</w:t>
      </w:r>
      <w:proofErr w:type="spellEnd"/>
      <w:r>
        <w:t xml:space="preserve"> Вестник» от 19.01.2024 №2,   администрация </w:t>
      </w:r>
      <w:proofErr w:type="spellStart"/>
      <w:r>
        <w:t>Сорочинского</w:t>
      </w:r>
      <w:proofErr w:type="spellEnd"/>
      <w:r>
        <w:t xml:space="preserve"> городского округа Оренбургской  области  </w:t>
      </w:r>
      <w:proofErr w:type="gramStart"/>
      <w:r>
        <w:t>п</w:t>
      </w:r>
      <w:proofErr w:type="gramEnd"/>
      <w:r>
        <w:t xml:space="preserve"> о с т а н о в л я е т: </w:t>
      </w:r>
    </w:p>
    <w:p w:rsidR="00091A62" w:rsidRDefault="00491E91">
      <w:pPr>
        <w:ind w:firstLine="709"/>
        <w:jc w:val="both"/>
      </w:pPr>
      <w:r>
        <w:t xml:space="preserve">1. Предоставить Сидорову Олегу Сергеевичу   разрешение на условно разрешенный вид использования земельного участка с кадастровым номером 56:45:0102029:1018, по адресу: Российская Федерация, Оренбургская область, </w:t>
      </w:r>
      <w:proofErr w:type="spellStart"/>
      <w:r>
        <w:t>Сорочинский</w:t>
      </w:r>
      <w:proofErr w:type="spellEnd"/>
      <w:r>
        <w:t xml:space="preserve"> городской округ, г. Сорочинск, Бульвар Нефтяников,  13: </w:t>
      </w:r>
      <w:proofErr w:type="spellStart"/>
      <w:r>
        <w:t>среднеэтажная</w:t>
      </w:r>
      <w:proofErr w:type="spellEnd"/>
      <w:r>
        <w:t xml:space="preserve"> жилая застройка (код 2.5). Основной вид разрешенного использования: для размещения домов малоэтажной жилой застройки. Категория земель: земли населенных пунктов. </w:t>
      </w:r>
    </w:p>
    <w:p w:rsidR="00091A62" w:rsidRDefault="00491E91">
      <w:pPr>
        <w:ind w:firstLine="709"/>
        <w:jc w:val="both"/>
        <w:rPr>
          <w:spacing w:val="-1"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>
        <w:rPr>
          <w:spacing w:val="-1"/>
        </w:rPr>
        <w:t xml:space="preserve">исполняющего обязанности главного архитектора муниципального образования </w:t>
      </w:r>
      <w:proofErr w:type="spellStart"/>
      <w:r>
        <w:rPr>
          <w:spacing w:val="-1"/>
        </w:rPr>
        <w:t>Сорочинский</w:t>
      </w:r>
      <w:proofErr w:type="spellEnd"/>
      <w:r>
        <w:rPr>
          <w:spacing w:val="-1"/>
        </w:rPr>
        <w:t xml:space="preserve">  городской округ Оренбургской области </w:t>
      </w:r>
      <w:proofErr w:type="spellStart"/>
      <w:r>
        <w:rPr>
          <w:spacing w:val="-1"/>
        </w:rPr>
        <w:t>Рудась</w:t>
      </w:r>
      <w:proofErr w:type="spellEnd"/>
      <w:r>
        <w:rPr>
          <w:spacing w:val="-1"/>
        </w:rPr>
        <w:t xml:space="preserve"> О.Р.</w:t>
      </w:r>
    </w:p>
    <w:p w:rsidR="00091A62" w:rsidRDefault="00491E91">
      <w:pPr>
        <w:pStyle w:val="20"/>
        <w:ind w:firstLine="709"/>
        <w:jc w:val="both"/>
        <w:rPr>
          <w:spacing w:val="-1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Постановление вступает в силу после его официального опубликования в газете «</w:t>
      </w:r>
      <w:proofErr w:type="spellStart"/>
      <w:r>
        <w:rPr>
          <w:sz w:val="24"/>
          <w:szCs w:val="24"/>
          <w:lang w:val="ru-RU"/>
        </w:rPr>
        <w:t>Сорочинский</w:t>
      </w:r>
      <w:proofErr w:type="spellEnd"/>
      <w:r>
        <w:rPr>
          <w:sz w:val="24"/>
          <w:szCs w:val="24"/>
          <w:lang w:val="ru-RU"/>
        </w:rPr>
        <w:t xml:space="preserve"> Вестник» и подлежит размещению на Портале муниципального образования </w:t>
      </w:r>
      <w:proofErr w:type="spellStart"/>
      <w:r>
        <w:rPr>
          <w:sz w:val="24"/>
          <w:szCs w:val="24"/>
          <w:lang w:val="ru-RU"/>
        </w:rPr>
        <w:t>Сорочинский</w:t>
      </w:r>
      <w:proofErr w:type="spellEnd"/>
      <w:r>
        <w:rPr>
          <w:sz w:val="24"/>
          <w:szCs w:val="24"/>
          <w:lang w:val="ru-RU"/>
        </w:rPr>
        <w:t xml:space="preserve"> городской округ Оренбургской области в сети «Интернет» (</w:t>
      </w: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>://</w:t>
      </w:r>
      <w:proofErr w:type="spellStart"/>
      <w:r>
        <w:rPr>
          <w:sz w:val="24"/>
          <w:szCs w:val="24"/>
        </w:rPr>
        <w:t>sorochinsk</w:t>
      </w:r>
      <w:proofErr w:type="spellEnd"/>
      <w:r>
        <w:rPr>
          <w:sz w:val="24"/>
          <w:szCs w:val="24"/>
          <w:lang w:val="ru-RU"/>
        </w:rPr>
        <w:t>56.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  <w:lang w:val="ru-RU"/>
        </w:rPr>
        <w:t xml:space="preserve">). </w:t>
      </w:r>
    </w:p>
    <w:p w:rsidR="00091A62" w:rsidRDefault="00091A62">
      <w:pPr>
        <w:jc w:val="both"/>
        <w:rPr>
          <w:color w:val="FF0000"/>
        </w:rPr>
      </w:pPr>
    </w:p>
    <w:p w:rsidR="00091A62" w:rsidRDefault="00091A62">
      <w:pPr>
        <w:jc w:val="both"/>
        <w:rPr>
          <w:color w:val="FF0000"/>
        </w:rPr>
      </w:pPr>
    </w:p>
    <w:p w:rsidR="00091A62" w:rsidRDefault="008A586B">
      <w:pPr>
        <w:jc w:val="both"/>
        <w:rPr>
          <w:color w:val="FF0000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6D2E56A0" wp14:editId="25BE296B">
            <wp:simplePos x="0" y="0"/>
            <wp:positionH relativeFrom="page">
              <wp:posOffset>3251200</wp:posOffset>
            </wp:positionH>
            <wp:positionV relativeFrom="page">
              <wp:posOffset>8631555</wp:posOffset>
            </wp:positionV>
            <wp:extent cx="2075180" cy="77851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A62" w:rsidRDefault="00491E9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 муниципального образования</w:t>
      </w:r>
    </w:p>
    <w:p w:rsidR="00091A62" w:rsidRDefault="00491E91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Сорочинский</w:t>
      </w:r>
      <w:proofErr w:type="spellEnd"/>
      <w:r>
        <w:rPr>
          <w:rFonts w:eastAsia="Calibri"/>
          <w:lang w:eastAsia="en-US"/>
        </w:rPr>
        <w:t xml:space="preserve"> городской округ                                                                              Т.П. Мелентьева</w:t>
      </w:r>
    </w:p>
    <w:p w:rsidR="00091A62" w:rsidRDefault="00091A62">
      <w:pPr>
        <w:jc w:val="both"/>
        <w:rPr>
          <w:rFonts w:eastAsia="Calibri"/>
          <w:lang w:eastAsia="en-US"/>
        </w:rPr>
      </w:pPr>
    </w:p>
    <w:p w:rsidR="00091A62" w:rsidRDefault="00091A62">
      <w:pPr>
        <w:jc w:val="both"/>
        <w:rPr>
          <w:rFonts w:eastAsia="Calibri"/>
          <w:lang w:eastAsia="en-US"/>
        </w:rPr>
      </w:pPr>
    </w:p>
    <w:p w:rsidR="00091A62" w:rsidRDefault="00491E91">
      <w:r>
        <w:rPr>
          <w:sz w:val="20"/>
          <w:szCs w:val="20"/>
        </w:rPr>
        <w:t xml:space="preserve">Разослано: в дело, Управлению архитектуры, заявителю, </w:t>
      </w:r>
      <w:proofErr w:type="spellStart"/>
      <w:r>
        <w:rPr>
          <w:sz w:val="20"/>
          <w:szCs w:val="20"/>
        </w:rPr>
        <w:t>Зениной</w:t>
      </w:r>
      <w:proofErr w:type="spellEnd"/>
      <w:r>
        <w:rPr>
          <w:sz w:val="20"/>
          <w:szCs w:val="20"/>
        </w:rPr>
        <w:t xml:space="preserve"> И.В.,   </w:t>
      </w:r>
      <w:proofErr w:type="gramStart"/>
      <w:r>
        <w:rPr>
          <w:sz w:val="20"/>
          <w:szCs w:val="20"/>
        </w:rPr>
        <w:t>Рябых</w:t>
      </w:r>
      <w:proofErr w:type="gramEnd"/>
      <w:r>
        <w:rPr>
          <w:sz w:val="20"/>
          <w:szCs w:val="20"/>
        </w:rPr>
        <w:t xml:space="preserve"> Е.С., прокуратуре.</w:t>
      </w:r>
    </w:p>
    <w:sectPr w:rsidR="00091A62">
      <w:pgSz w:w="11906" w:h="16838"/>
      <w:pgMar w:top="284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62"/>
    <w:rsid w:val="00091A62"/>
    <w:rsid w:val="000D34F0"/>
    <w:rsid w:val="00491E91"/>
    <w:rsid w:val="008A586B"/>
    <w:rsid w:val="00990ED2"/>
    <w:rsid w:val="00B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70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link w:val="2"/>
    <w:unhideWhenUsed/>
    <w:qFormat/>
    <w:rsid w:val="003470E3"/>
    <w:rPr>
      <w:sz w:val="16"/>
      <w:szCs w:val="20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3470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70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link w:val="2"/>
    <w:unhideWhenUsed/>
    <w:qFormat/>
    <w:rsid w:val="003470E3"/>
    <w:rPr>
      <w:sz w:val="16"/>
      <w:szCs w:val="20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3470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630E-17A1-4A78-88DA-6B74A270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2024-02-22T04:02:00Z</cp:lastPrinted>
  <dcterms:created xsi:type="dcterms:W3CDTF">2024-11-14T07:08:00Z</dcterms:created>
  <dcterms:modified xsi:type="dcterms:W3CDTF">2024-11-14T07:08:00Z</dcterms:modified>
  <dc:language>ru-RU</dc:language>
</cp:coreProperties>
</file>